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ayout w:type="fixed"/>
        <w:tblCellMar>
          <w:left w:w="0" w:type="dxa"/>
          <w:right w:w="0" w:type="dxa"/>
        </w:tblCellMar>
        <w:tblLook w:val="0000" w:firstRow="0" w:lastRow="0" w:firstColumn="0" w:lastColumn="0" w:noHBand="0" w:noVBand="0"/>
      </w:tblPr>
      <w:tblGrid>
        <w:gridCol w:w="8843"/>
      </w:tblGrid>
      <w:tr w:rsidR="000D4A87">
        <w:trPr>
          <w:cantSplit/>
          <w:trHeight w:val="1757"/>
        </w:trPr>
        <w:tc>
          <w:tcPr>
            <w:tcW w:w="8843" w:type="dxa"/>
          </w:tcPr>
          <w:p w:rsidR="000D4A87" w:rsidRDefault="00727F59">
            <w:pPr>
              <w:spacing w:before="40" w:line="317" w:lineRule="auto"/>
              <w:rPr>
                <w:rFonts w:ascii="黑体" w:eastAsia="黑体" w:hAnsi="黑体" w:cs="黑体"/>
                <w:szCs w:val="32"/>
              </w:rPr>
            </w:pPr>
            <w:r>
              <w:rPr>
                <w:rFonts w:ascii="黑体" w:eastAsia="黑体" w:hAnsi="黑体" w:cs="黑体" w:hint="eastAsia"/>
                <w:szCs w:val="32"/>
              </w:rPr>
              <w:t>附件</w:t>
            </w:r>
            <w:r w:rsidR="002763E4">
              <w:rPr>
                <w:rFonts w:ascii="黑体" w:eastAsia="黑体" w:hAnsi="黑体" w:cs="黑体" w:hint="eastAsia"/>
                <w:szCs w:val="32"/>
              </w:rPr>
              <w:t>9</w:t>
            </w:r>
            <w:bookmarkStart w:id="0" w:name="_GoBack"/>
            <w:bookmarkEnd w:id="0"/>
          </w:p>
        </w:tc>
      </w:tr>
      <w:tr w:rsidR="000D4A87">
        <w:trPr>
          <w:cantSplit/>
        </w:trPr>
        <w:tc>
          <w:tcPr>
            <w:tcW w:w="8843" w:type="dxa"/>
            <w:tcBorders>
              <w:bottom w:val="nil"/>
            </w:tcBorders>
          </w:tcPr>
          <w:p w:rsidR="000D4A87" w:rsidRDefault="00B074A2">
            <w:pPr>
              <w:adjustRightInd w:val="0"/>
              <w:snapToGrid w:val="0"/>
              <w:spacing w:line="1280" w:lineRule="exact"/>
              <w:jc w:val="center"/>
              <w:rPr>
                <w:rFonts w:ascii="方正小标宋_GBK" w:eastAsia="方正小标宋_GBK"/>
                <w:color w:val="FF0000"/>
                <w:sz w:val="84"/>
              </w:rPr>
            </w:pPr>
            <w:r>
              <w:rPr>
                <w:rFonts w:ascii="方正小标宋_GBK" w:eastAsia="方正小标宋_GBK" w:hAnsi="方正小标宋_GBK" w:cs="方正小标宋_GBK" w:hint="eastAsia"/>
                <w:color w:val="FF0000"/>
                <w:sz w:val="72"/>
                <w:szCs w:val="72"/>
              </w:rPr>
              <w:t>杭州市人民政府办公厅文件</w:t>
            </w:r>
          </w:p>
        </w:tc>
      </w:tr>
      <w:tr w:rsidR="000D4A87">
        <w:trPr>
          <w:cantSplit/>
          <w:trHeight w:hRule="exact" w:val="896"/>
        </w:trPr>
        <w:tc>
          <w:tcPr>
            <w:tcW w:w="8843" w:type="dxa"/>
            <w:tcBorders>
              <w:top w:val="nil"/>
              <w:left w:val="nil"/>
              <w:bottom w:val="nil"/>
              <w:right w:val="nil"/>
            </w:tcBorders>
            <w:vAlign w:val="center"/>
          </w:tcPr>
          <w:p w:rsidR="000D4A87" w:rsidRDefault="00B074A2">
            <w:pPr>
              <w:tabs>
                <w:tab w:val="left" w:pos="5430"/>
              </w:tabs>
              <w:wordWrap w:val="0"/>
              <w:spacing w:line="240" w:lineRule="auto"/>
              <w:jc w:val="left"/>
              <w:rPr>
                <w:rFonts w:ascii="楷体" w:eastAsia="楷体" w:hAnsi="楷体" w:cs="楷体"/>
                <w:szCs w:val="32"/>
              </w:rPr>
            </w:pPr>
            <w:r>
              <w:rPr>
                <w:rFonts w:ascii="楷体" w:eastAsia="楷体" w:hAnsi="楷体" w:cs="楷体" w:hint="eastAsia"/>
                <w:szCs w:val="32"/>
              </w:rPr>
              <w:tab/>
            </w:r>
          </w:p>
        </w:tc>
      </w:tr>
      <w:tr w:rsidR="000D4A87">
        <w:trPr>
          <w:cantSplit/>
          <w:trHeight w:hRule="exact" w:val="689"/>
        </w:trPr>
        <w:tc>
          <w:tcPr>
            <w:tcW w:w="8843" w:type="dxa"/>
            <w:tcBorders>
              <w:top w:val="nil"/>
              <w:left w:val="nil"/>
              <w:bottom w:val="nil"/>
              <w:right w:val="nil"/>
            </w:tcBorders>
            <w:vAlign w:val="bottom"/>
          </w:tcPr>
          <w:p w:rsidR="000D4A87" w:rsidRDefault="00B074A2">
            <w:pPr>
              <w:wordWrap w:val="0"/>
              <w:spacing w:line="240" w:lineRule="auto"/>
              <w:jc w:val="center"/>
              <w:rPr>
                <w:rFonts w:ascii="仿宋_GB2312" w:hAnsi="仿宋_GB2312" w:cs="仿宋_GB2312"/>
                <w:szCs w:val="32"/>
              </w:rPr>
            </w:pPr>
            <w:proofErr w:type="gramStart"/>
            <w:r>
              <w:rPr>
                <w:rFonts w:ascii="仿宋_GB2312" w:hAnsi="仿宋_GB2312" w:cs="仿宋_GB2312" w:hint="eastAsia"/>
                <w:szCs w:val="32"/>
              </w:rPr>
              <w:t>杭政办</w:t>
            </w:r>
            <w:proofErr w:type="gramEnd"/>
            <w:r>
              <w:rPr>
                <w:rFonts w:ascii="仿宋_GB2312" w:hAnsi="仿宋_GB2312" w:cs="仿宋_GB2312" w:hint="eastAsia"/>
                <w:szCs w:val="32"/>
              </w:rPr>
              <w:t>函〔2019〕19号</w:t>
            </w:r>
          </w:p>
        </w:tc>
      </w:tr>
      <w:tr w:rsidR="000D4A87">
        <w:trPr>
          <w:cantSplit/>
          <w:trHeight w:hRule="exact" w:val="113"/>
        </w:trPr>
        <w:tc>
          <w:tcPr>
            <w:tcW w:w="8843" w:type="dxa"/>
            <w:tcBorders>
              <w:top w:val="nil"/>
              <w:left w:val="nil"/>
              <w:bottom w:val="single" w:sz="24" w:space="0" w:color="FF0000"/>
              <w:right w:val="nil"/>
            </w:tcBorders>
            <w:vAlign w:val="center"/>
          </w:tcPr>
          <w:p w:rsidR="000D4A87" w:rsidRDefault="000D4A87">
            <w:pPr>
              <w:wordWrap w:val="0"/>
              <w:spacing w:line="240" w:lineRule="auto"/>
              <w:jc w:val="center"/>
              <w:rPr>
                <w:rFonts w:ascii="仿宋_GB2312" w:hAnsi="仿宋_GB2312" w:cs="仿宋_GB2312"/>
                <w:szCs w:val="32"/>
              </w:rPr>
            </w:pPr>
          </w:p>
        </w:tc>
      </w:tr>
      <w:tr w:rsidR="000D4A87">
        <w:trPr>
          <w:cantSplit/>
          <w:trHeight w:hRule="exact" w:val="1162"/>
        </w:trPr>
        <w:tc>
          <w:tcPr>
            <w:tcW w:w="8843" w:type="dxa"/>
            <w:tcBorders>
              <w:top w:val="single" w:sz="24" w:space="0" w:color="FF0000"/>
              <w:left w:val="nil"/>
              <w:bottom w:val="nil"/>
              <w:right w:val="nil"/>
            </w:tcBorders>
            <w:vAlign w:val="center"/>
          </w:tcPr>
          <w:p w:rsidR="000D4A87" w:rsidRDefault="000D4A87">
            <w:pPr>
              <w:tabs>
                <w:tab w:val="left" w:pos="3808"/>
              </w:tabs>
              <w:spacing w:line="240" w:lineRule="auto"/>
              <w:jc w:val="center"/>
              <w:rPr>
                <w:rFonts w:ascii="仿宋_GB2312" w:hAnsi="仿宋_GB2312"/>
                <w:bCs/>
              </w:rPr>
            </w:pPr>
          </w:p>
          <w:p w:rsidR="000D4A87" w:rsidRDefault="000D4A87">
            <w:pPr>
              <w:tabs>
                <w:tab w:val="left" w:pos="3808"/>
              </w:tabs>
              <w:spacing w:line="240" w:lineRule="auto"/>
              <w:jc w:val="center"/>
              <w:rPr>
                <w:rFonts w:ascii="仿宋_GB2312" w:hAnsi="仿宋_GB2312"/>
                <w:bCs/>
              </w:rPr>
            </w:pPr>
          </w:p>
        </w:tc>
      </w:tr>
      <w:tr w:rsidR="000D4A87">
        <w:trPr>
          <w:cantSplit/>
        </w:trPr>
        <w:tc>
          <w:tcPr>
            <w:tcW w:w="8843" w:type="dxa"/>
            <w:tcBorders>
              <w:top w:val="nil"/>
            </w:tcBorders>
            <w:vAlign w:val="center"/>
          </w:tcPr>
          <w:p w:rsidR="000D4A87" w:rsidRDefault="00B074A2">
            <w:pPr>
              <w:spacing w:line="590" w:lineRule="exact"/>
              <w:jc w:val="center"/>
              <w:rPr>
                <w:rFonts w:ascii="方正小标宋_GBK" w:eastAsia="方正小标宋_GBK" w:hAnsi="方正小标宋_GBK" w:cs="方正小标宋_GBK"/>
                <w:spacing w:val="0"/>
                <w:kern w:val="0"/>
                <w:sz w:val="44"/>
                <w:szCs w:val="44"/>
              </w:rPr>
            </w:pPr>
            <w:r>
              <w:rPr>
                <w:rFonts w:ascii="方正小标宋_GBK" w:eastAsia="方正小标宋_GBK" w:hAnsi="方正小标宋_GBK" w:cs="方正小标宋_GBK" w:hint="eastAsia"/>
                <w:spacing w:val="0"/>
                <w:kern w:val="0"/>
                <w:sz w:val="44"/>
                <w:szCs w:val="44"/>
              </w:rPr>
              <w:t>杭州市人民政府办公厅关于公布</w:t>
            </w:r>
          </w:p>
          <w:p w:rsidR="000D4A87" w:rsidRDefault="00B074A2">
            <w:pPr>
              <w:spacing w:line="590" w:lineRule="exact"/>
              <w:jc w:val="center"/>
              <w:rPr>
                <w:rFonts w:ascii="方正小标宋_GBK" w:eastAsia="方正小标宋_GBK" w:hAnsi="方正小标宋_GBK" w:cs="方正小标宋_GBK"/>
                <w:spacing w:val="0"/>
                <w:kern w:val="0"/>
                <w:sz w:val="44"/>
                <w:szCs w:val="44"/>
              </w:rPr>
            </w:pPr>
            <w:r>
              <w:rPr>
                <w:rFonts w:ascii="方正小标宋_GBK" w:eastAsia="方正小标宋_GBK" w:hAnsi="方正小标宋_GBK" w:cs="方正小标宋_GBK" w:hint="eastAsia"/>
                <w:spacing w:val="0"/>
                <w:kern w:val="0"/>
                <w:sz w:val="44"/>
                <w:szCs w:val="44"/>
              </w:rPr>
              <w:t>杭州市2019年度政府集中采购目录及</w:t>
            </w:r>
          </w:p>
          <w:p w:rsidR="000D4A87" w:rsidRDefault="00B074A2">
            <w:pPr>
              <w:spacing w:line="590" w:lineRule="exact"/>
              <w:jc w:val="center"/>
              <w:rPr>
                <w:rFonts w:ascii="方正小标宋简体" w:eastAsia="方正小标宋简体" w:hAnsi="方正小标宋简体" w:cs="方正小标宋简体"/>
                <w:sz w:val="44"/>
                <w:szCs w:val="44"/>
              </w:rPr>
            </w:pPr>
            <w:r>
              <w:rPr>
                <w:rFonts w:ascii="方正小标宋_GBK" w:eastAsia="方正小标宋_GBK" w:hAnsi="方正小标宋_GBK" w:cs="方正小标宋_GBK" w:hint="eastAsia"/>
                <w:spacing w:val="0"/>
                <w:kern w:val="0"/>
                <w:sz w:val="44"/>
                <w:szCs w:val="44"/>
              </w:rPr>
              <w:t>标准的通知</w:t>
            </w:r>
          </w:p>
        </w:tc>
      </w:tr>
      <w:tr w:rsidR="000D4A87">
        <w:trPr>
          <w:cantSplit/>
          <w:trHeight w:hRule="exact" w:val="584"/>
        </w:trPr>
        <w:tc>
          <w:tcPr>
            <w:tcW w:w="8843" w:type="dxa"/>
            <w:vAlign w:val="center"/>
          </w:tcPr>
          <w:p w:rsidR="000D4A87" w:rsidRDefault="000D4A87">
            <w:pPr>
              <w:spacing w:line="240" w:lineRule="auto"/>
              <w:jc w:val="center"/>
              <w:rPr>
                <w:rFonts w:ascii="方正仿宋_GBK" w:hAnsi="方正仿宋_GBK"/>
                <w:b/>
              </w:rPr>
            </w:pPr>
          </w:p>
        </w:tc>
      </w:tr>
    </w:tbl>
    <w:p w:rsidR="000D4A87" w:rsidRDefault="00B074A2">
      <w:pPr>
        <w:autoSpaceDN w:val="0"/>
        <w:adjustRightInd w:val="0"/>
        <w:snapToGrid w:val="0"/>
        <w:spacing w:line="336" w:lineRule="auto"/>
        <w:rPr>
          <w:rFonts w:ascii="仿宋_GB2312" w:hAnsi="仿宋_GB2312" w:cs="仿宋_GB2312"/>
          <w:spacing w:val="-3"/>
          <w:szCs w:val="32"/>
        </w:rPr>
      </w:pPr>
      <w:r>
        <w:rPr>
          <w:rFonts w:ascii="仿宋_GB2312" w:hAnsi="仿宋_GB2312" w:cs="仿宋_GB2312" w:hint="eastAsia"/>
          <w:spacing w:val="-3"/>
          <w:szCs w:val="32"/>
        </w:rPr>
        <w:t>各区、县（市）人民政府，市政府各部门、各直属单位：</w:t>
      </w:r>
    </w:p>
    <w:p w:rsidR="000D4A87" w:rsidRDefault="00B074A2" w:rsidP="00BE04ED">
      <w:pPr>
        <w:autoSpaceDN w:val="0"/>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为进一步明确我市各级机关、事业单位和团体组织实施政府采购的范围和标准，提高财政资金使用效益，规范政府采购行为，根据《中华人民共和国政府采购法》《中华人民共和国政府采购法实施条例》和《浙江省财政厅关于公布2019年度政府集中采购目录及标准的通知》（</w:t>
      </w:r>
      <w:proofErr w:type="gramStart"/>
      <w:r>
        <w:rPr>
          <w:rFonts w:ascii="仿宋_GB2312" w:hAnsi="仿宋_GB2312" w:cs="仿宋_GB2312" w:hint="eastAsia"/>
          <w:spacing w:val="-3"/>
          <w:kern w:val="0"/>
          <w:szCs w:val="32"/>
        </w:rPr>
        <w:t>浙财采监</w:t>
      </w:r>
      <w:proofErr w:type="gramEnd"/>
      <w:r>
        <w:rPr>
          <w:rFonts w:ascii="仿宋_GB2312" w:hAnsi="仿宋_GB2312" w:cs="仿宋_GB2312" w:hint="eastAsia"/>
          <w:spacing w:val="-3"/>
          <w:kern w:val="0"/>
          <w:szCs w:val="32"/>
        </w:rPr>
        <w:t>〔2018〕17号）规定，经市政府同意，现公布《杭州市2019年度政府集中采购目录及标准》，并将有关事项通知如下。</w:t>
      </w:r>
    </w:p>
    <w:p w:rsidR="000D4A87" w:rsidRDefault="00B074A2" w:rsidP="00BE04ED">
      <w:pPr>
        <w:autoSpaceDN w:val="0"/>
        <w:adjustRightInd w:val="0"/>
        <w:snapToGrid w:val="0"/>
        <w:spacing w:line="336" w:lineRule="auto"/>
        <w:ind w:firstLineChars="200" w:firstLine="640"/>
        <w:rPr>
          <w:rFonts w:ascii="黑体" w:eastAsia="黑体" w:hAnsi="宋体" w:cs="仿宋_GB2312"/>
          <w:spacing w:val="-3"/>
          <w:kern w:val="0"/>
          <w:szCs w:val="32"/>
        </w:rPr>
      </w:pPr>
      <w:r>
        <w:rPr>
          <w:rFonts w:ascii="黑体" w:eastAsia="黑体" w:hAnsi="宋体" w:cs="仿宋_GB2312" w:hint="eastAsia"/>
          <w:spacing w:val="-3"/>
          <w:kern w:val="0"/>
          <w:szCs w:val="32"/>
        </w:rPr>
        <w:lastRenderedPageBreak/>
        <w:t>一、集中采购</w:t>
      </w:r>
    </w:p>
    <w:p w:rsidR="000D4A87" w:rsidRDefault="00B074A2" w:rsidP="00BE04ED">
      <w:pPr>
        <w:autoSpaceDN w:val="0"/>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纳入集中采购目录的项目，采购单位应当委托集中采购机构依法组织采购。其中，全省统一集中采购项目，由省级行政主管部门依法组织采购；市教育局和市卫生健康委员会所属单位采购教育设备与医疗设备的，统一委托部门集中采购机构依法组织采购，也可以委托集中采购机构代理采购。</w:t>
      </w:r>
    </w:p>
    <w:p w:rsidR="000D4A87" w:rsidRDefault="00B074A2" w:rsidP="00BE04ED">
      <w:pPr>
        <w:autoSpaceDN w:val="0"/>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按照隶属关系，属于区、县（市）的项目，委托省市有关行政主管部门实施部门集中采购的，采购单位应当按照规定向同级财政部门办理政府采购有关手续。</w:t>
      </w:r>
    </w:p>
    <w:p w:rsidR="000D4A87" w:rsidRDefault="00B074A2" w:rsidP="00BE04ED">
      <w:pPr>
        <w:autoSpaceDN w:val="0"/>
        <w:adjustRightInd w:val="0"/>
        <w:snapToGrid w:val="0"/>
        <w:spacing w:line="336" w:lineRule="auto"/>
        <w:ind w:firstLineChars="200" w:firstLine="640"/>
        <w:rPr>
          <w:rFonts w:ascii="仿宋" w:eastAsia="仿宋" w:hAnsi="仿宋" w:cs="仿宋_GB2312"/>
          <w:spacing w:val="-3"/>
          <w:kern w:val="0"/>
          <w:szCs w:val="32"/>
        </w:rPr>
      </w:pPr>
      <w:r>
        <w:rPr>
          <w:rFonts w:ascii="仿宋_GB2312" w:hAnsi="仿宋_GB2312" w:cs="仿宋_GB2312" w:hint="eastAsia"/>
          <w:spacing w:val="-3"/>
          <w:kern w:val="0"/>
          <w:szCs w:val="32"/>
        </w:rPr>
        <w:t>全省统一集中采购项目以外，单项或年度批量预算金额在公开招标数额标准以下的货物和服务类政府集中采购项目，采购单位通过浙江“政</w:t>
      </w:r>
      <w:proofErr w:type="gramStart"/>
      <w:r>
        <w:rPr>
          <w:rFonts w:ascii="仿宋_GB2312" w:hAnsi="仿宋_GB2312" w:cs="仿宋_GB2312" w:hint="eastAsia"/>
          <w:spacing w:val="-3"/>
          <w:kern w:val="0"/>
          <w:szCs w:val="32"/>
        </w:rPr>
        <w:t>采云</w:t>
      </w:r>
      <w:proofErr w:type="gramEnd"/>
      <w:r>
        <w:rPr>
          <w:rFonts w:ascii="仿宋_GB2312" w:hAnsi="仿宋_GB2312" w:cs="仿宋_GB2312" w:hint="eastAsia"/>
          <w:spacing w:val="-3"/>
          <w:kern w:val="0"/>
          <w:szCs w:val="32"/>
        </w:rPr>
        <w:t>”平台电子卖场进行采购，电子卖场未上线的货物或服务除外。其中，单项或年度批量预算金额达到分散采购限额标准的货物类政府集中采购项目，采购单位通过浙江“政</w:t>
      </w:r>
      <w:proofErr w:type="gramStart"/>
      <w:r>
        <w:rPr>
          <w:rFonts w:ascii="仿宋_GB2312" w:hAnsi="仿宋_GB2312" w:cs="仿宋_GB2312" w:hint="eastAsia"/>
          <w:spacing w:val="-3"/>
          <w:kern w:val="0"/>
          <w:szCs w:val="32"/>
        </w:rPr>
        <w:t>采云</w:t>
      </w:r>
      <w:proofErr w:type="gramEnd"/>
      <w:r>
        <w:rPr>
          <w:rFonts w:ascii="仿宋_GB2312" w:hAnsi="仿宋_GB2312" w:cs="仿宋_GB2312" w:hint="eastAsia"/>
          <w:spacing w:val="-3"/>
          <w:kern w:val="0"/>
          <w:szCs w:val="32"/>
        </w:rPr>
        <w:t>”平台电子卖场进行竞价采购。</w:t>
      </w:r>
    </w:p>
    <w:p w:rsidR="000D4A87" w:rsidRDefault="00B074A2" w:rsidP="00BE04ED">
      <w:pPr>
        <w:autoSpaceDN w:val="0"/>
        <w:adjustRightInd w:val="0"/>
        <w:snapToGrid w:val="0"/>
        <w:spacing w:line="336" w:lineRule="auto"/>
        <w:ind w:firstLineChars="200" w:firstLine="640"/>
        <w:rPr>
          <w:rFonts w:ascii="黑体" w:eastAsia="黑体" w:hAnsi="宋体" w:cs="仿宋_GB2312"/>
          <w:spacing w:val="-3"/>
          <w:kern w:val="0"/>
          <w:szCs w:val="32"/>
        </w:rPr>
      </w:pPr>
      <w:r>
        <w:rPr>
          <w:rFonts w:ascii="黑体" w:eastAsia="黑体" w:hAnsi="宋体" w:cs="仿宋_GB2312" w:hint="eastAsia"/>
          <w:spacing w:val="-3"/>
          <w:kern w:val="0"/>
          <w:szCs w:val="32"/>
        </w:rPr>
        <w:t>二、分散采购</w:t>
      </w:r>
    </w:p>
    <w:p w:rsidR="000D4A87" w:rsidRDefault="00B074A2" w:rsidP="00BE04ED">
      <w:pPr>
        <w:adjustRightInd w:val="0"/>
        <w:snapToGrid w:val="0"/>
        <w:spacing w:line="336" w:lineRule="auto"/>
        <w:ind w:firstLineChars="200" w:firstLine="640"/>
        <w:rPr>
          <w:rFonts w:ascii="楷体_GB2312" w:eastAsia="楷体_GB2312" w:hAnsi="楷体_GB2312" w:cs="楷体_GB2312"/>
          <w:spacing w:val="-3"/>
          <w:kern w:val="0"/>
          <w:szCs w:val="32"/>
        </w:rPr>
      </w:pPr>
      <w:r>
        <w:rPr>
          <w:rFonts w:ascii="楷体_GB2312" w:eastAsia="楷体_GB2312" w:hAnsi="楷体_GB2312" w:cs="楷体_GB2312" w:hint="eastAsia"/>
          <w:spacing w:val="-3"/>
          <w:kern w:val="0"/>
          <w:szCs w:val="32"/>
        </w:rPr>
        <w:t>（一）市级分散采购限额标准。</w:t>
      </w:r>
    </w:p>
    <w:p w:rsidR="000D4A87" w:rsidRDefault="00B074A2" w:rsidP="00BE04ED">
      <w:pPr>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货物、服务类项目：30万元。</w:t>
      </w:r>
    </w:p>
    <w:p w:rsidR="000D4A87" w:rsidRDefault="00B074A2" w:rsidP="00BE04ED">
      <w:pPr>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工程类项目：50万元。</w:t>
      </w:r>
    </w:p>
    <w:p w:rsidR="000D4A87" w:rsidRDefault="00B074A2" w:rsidP="00BE04ED">
      <w:pPr>
        <w:adjustRightInd w:val="0"/>
        <w:snapToGrid w:val="0"/>
        <w:spacing w:line="336" w:lineRule="auto"/>
        <w:ind w:firstLineChars="200" w:firstLine="640"/>
        <w:rPr>
          <w:rFonts w:ascii="仿宋_GB2312" w:hAnsi="仿宋_GB2312" w:cs="仿宋_GB2312"/>
          <w:spacing w:val="-3"/>
          <w:kern w:val="0"/>
          <w:szCs w:val="32"/>
        </w:rPr>
      </w:pPr>
      <w:r>
        <w:rPr>
          <w:rFonts w:ascii="楷体_GB2312" w:eastAsia="楷体_GB2312" w:hAnsi="楷体_GB2312" w:cs="楷体_GB2312" w:hint="eastAsia"/>
          <w:spacing w:val="-3"/>
          <w:kern w:val="0"/>
          <w:szCs w:val="32"/>
        </w:rPr>
        <w:t>（二）分散采购要求。</w:t>
      </w:r>
      <w:r>
        <w:rPr>
          <w:rFonts w:ascii="仿宋_GB2312" w:hAnsi="仿宋_GB2312" w:cs="仿宋_GB2312" w:hint="eastAsia"/>
          <w:spacing w:val="-3"/>
          <w:kern w:val="0"/>
          <w:szCs w:val="32"/>
        </w:rPr>
        <w:t>集中采购目录以外，单项或年度批量预算金额达到分散采购限额标准的项目，依法实施分散采购。采购单位可以依法自行组织采购，也可以依法委托采购代理机构组</w:t>
      </w:r>
      <w:r>
        <w:rPr>
          <w:rFonts w:ascii="仿宋_GB2312" w:hAnsi="仿宋_GB2312" w:cs="仿宋_GB2312" w:hint="eastAsia"/>
          <w:spacing w:val="-3"/>
          <w:kern w:val="0"/>
          <w:szCs w:val="32"/>
        </w:rPr>
        <w:lastRenderedPageBreak/>
        <w:t>织采购。</w:t>
      </w:r>
    </w:p>
    <w:p w:rsidR="000D4A87" w:rsidRDefault="00B074A2" w:rsidP="00BE04ED">
      <w:pPr>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为进一步提高政府采购效率，对单项或年度批量预算金额在分散采购限额标准以上、公开招标数额标准以下，规格标准较为统一、现货货源充足或服务标准较为统一、市场竞争充分且价格变化幅度小的货物和服务类分散采购项目，采购单位可以通过浙江“政</w:t>
      </w:r>
      <w:proofErr w:type="gramStart"/>
      <w:r>
        <w:rPr>
          <w:rFonts w:ascii="仿宋_GB2312" w:hAnsi="仿宋_GB2312" w:cs="仿宋_GB2312" w:hint="eastAsia"/>
          <w:spacing w:val="-3"/>
          <w:kern w:val="0"/>
          <w:szCs w:val="32"/>
        </w:rPr>
        <w:t>采云</w:t>
      </w:r>
      <w:proofErr w:type="gramEnd"/>
      <w:r>
        <w:rPr>
          <w:rFonts w:ascii="仿宋_GB2312" w:hAnsi="仿宋_GB2312" w:cs="仿宋_GB2312" w:hint="eastAsia"/>
          <w:spacing w:val="-3"/>
          <w:kern w:val="0"/>
          <w:szCs w:val="32"/>
        </w:rPr>
        <w:t>”平台电子卖场进行竞价采购。采购单位确需委托采购代理机构采购或自行组织采购的，可以通过浙江“政</w:t>
      </w:r>
      <w:proofErr w:type="gramStart"/>
      <w:r>
        <w:rPr>
          <w:rFonts w:ascii="仿宋_GB2312" w:hAnsi="仿宋_GB2312" w:cs="仿宋_GB2312" w:hint="eastAsia"/>
          <w:spacing w:val="-3"/>
          <w:kern w:val="0"/>
          <w:szCs w:val="32"/>
        </w:rPr>
        <w:t>采云</w:t>
      </w:r>
      <w:proofErr w:type="gramEnd"/>
      <w:r>
        <w:rPr>
          <w:rFonts w:ascii="仿宋_GB2312" w:hAnsi="仿宋_GB2312" w:cs="仿宋_GB2312" w:hint="eastAsia"/>
          <w:spacing w:val="-3"/>
          <w:kern w:val="0"/>
          <w:szCs w:val="32"/>
        </w:rPr>
        <w:t>”平台项目采购系统依法组织采购。</w:t>
      </w:r>
    </w:p>
    <w:p w:rsidR="000D4A87" w:rsidRDefault="00B074A2" w:rsidP="00BE04ED">
      <w:pPr>
        <w:adjustRightInd w:val="0"/>
        <w:snapToGrid w:val="0"/>
        <w:spacing w:line="336" w:lineRule="auto"/>
        <w:ind w:firstLineChars="200" w:firstLine="640"/>
        <w:rPr>
          <w:rFonts w:ascii="仿宋" w:eastAsia="仿宋" w:hAnsi="仿宋" w:cs="仿宋_GB2312"/>
          <w:spacing w:val="-3"/>
          <w:kern w:val="0"/>
          <w:szCs w:val="32"/>
        </w:rPr>
      </w:pPr>
      <w:r>
        <w:rPr>
          <w:rFonts w:ascii="仿宋_GB2312" w:hAnsi="仿宋_GB2312" w:cs="仿宋_GB2312" w:hint="eastAsia"/>
          <w:spacing w:val="-3"/>
          <w:kern w:val="0"/>
          <w:szCs w:val="32"/>
        </w:rPr>
        <w:t>对集中采购目录以外，单项或年度批量预算金额在分散采购限额标准以下的货物或服务类项目，采购单位应当通过浙江“政</w:t>
      </w:r>
      <w:proofErr w:type="gramStart"/>
      <w:r>
        <w:rPr>
          <w:rFonts w:ascii="仿宋_GB2312" w:hAnsi="仿宋_GB2312" w:cs="仿宋_GB2312" w:hint="eastAsia"/>
          <w:spacing w:val="-3"/>
          <w:kern w:val="0"/>
          <w:szCs w:val="32"/>
        </w:rPr>
        <w:t>采云</w:t>
      </w:r>
      <w:proofErr w:type="gramEnd"/>
      <w:r>
        <w:rPr>
          <w:rFonts w:ascii="仿宋_GB2312" w:hAnsi="仿宋_GB2312" w:cs="仿宋_GB2312" w:hint="eastAsia"/>
          <w:spacing w:val="-3"/>
          <w:kern w:val="0"/>
          <w:szCs w:val="32"/>
        </w:rPr>
        <w:t>”平台电子卖场进行采购，电子卖场未上线的货物或服务除外。</w:t>
      </w:r>
    </w:p>
    <w:p w:rsidR="000D4A87" w:rsidRDefault="00B074A2" w:rsidP="00BE04ED">
      <w:pPr>
        <w:autoSpaceDN w:val="0"/>
        <w:adjustRightInd w:val="0"/>
        <w:snapToGrid w:val="0"/>
        <w:spacing w:line="336" w:lineRule="auto"/>
        <w:ind w:firstLineChars="200" w:firstLine="640"/>
        <w:rPr>
          <w:rFonts w:ascii="黑体" w:eastAsia="黑体" w:hAnsi="宋体" w:cs="仿宋_GB2312"/>
          <w:spacing w:val="-3"/>
          <w:kern w:val="0"/>
          <w:szCs w:val="32"/>
        </w:rPr>
      </w:pPr>
      <w:r>
        <w:rPr>
          <w:rFonts w:ascii="黑体" w:eastAsia="黑体" w:hAnsi="宋体" w:cs="仿宋_GB2312" w:hint="eastAsia"/>
          <w:spacing w:val="-3"/>
          <w:kern w:val="0"/>
          <w:szCs w:val="32"/>
        </w:rPr>
        <w:t>三、公开招标</w:t>
      </w:r>
    </w:p>
    <w:p w:rsidR="000D4A87" w:rsidRDefault="00B074A2" w:rsidP="00BE04ED">
      <w:pPr>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单项或年度批量预算金额达到200万元的政府集中采购、部门集中采购和分散采购项目，应当实行公开招标。符合非公开招标采购方式法定适用情形的，可以采用公开招标以外的采购方式，但应当在采购活动开始前获得市政府采购监督管理部门或县（市）政府批准。</w:t>
      </w:r>
    </w:p>
    <w:p w:rsidR="000D4A87" w:rsidRDefault="00B074A2" w:rsidP="00BE04ED">
      <w:pPr>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工程类项目公开招标数额标准，按照国家有关规定执行。</w:t>
      </w:r>
    </w:p>
    <w:p w:rsidR="000D4A87" w:rsidRDefault="00B074A2" w:rsidP="00BE04ED">
      <w:pPr>
        <w:autoSpaceDN w:val="0"/>
        <w:adjustRightInd w:val="0"/>
        <w:snapToGrid w:val="0"/>
        <w:spacing w:line="336" w:lineRule="auto"/>
        <w:ind w:firstLineChars="200" w:firstLine="640"/>
        <w:rPr>
          <w:rFonts w:ascii="黑体" w:eastAsia="黑体" w:hAnsi="宋体" w:cs="仿宋_GB2312"/>
          <w:spacing w:val="-3"/>
          <w:kern w:val="0"/>
          <w:szCs w:val="32"/>
        </w:rPr>
      </w:pPr>
      <w:r>
        <w:rPr>
          <w:rFonts w:ascii="黑体" w:eastAsia="黑体" w:hAnsi="宋体" w:cs="仿宋_GB2312" w:hint="eastAsia"/>
          <w:spacing w:val="-3"/>
          <w:kern w:val="0"/>
          <w:szCs w:val="32"/>
        </w:rPr>
        <w:t>四、其他规定</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（一）对于依法可以不进行招标但需要进行政府采购的建设工程项目，采购单位应当按照政府采购相关规定采用竞争性磋</w:t>
      </w:r>
      <w:r>
        <w:rPr>
          <w:rFonts w:ascii="仿宋_GB2312" w:hAnsi="仿宋_GB2312" w:cs="仿宋_GB2312" w:hint="eastAsia"/>
          <w:spacing w:val="-3"/>
          <w:kern w:val="0"/>
          <w:szCs w:val="32"/>
        </w:rPr>
        <w:lastRenderedPageBreak/>
        <w:t>商、竞争性谈判或者单一来源方式进行政府采购。</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二）采购单位或者其委托的采购代理机构在组织实施政府采购活动时，应当执行节约能源、保护环境、科技创新，扶持不发达地区和少数民族地区，促进中小企业、监狱企业、残疾人福利性单位发展等政府采购政策。</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在政府采购活动中中标或成交的中小企业，可以凭政府采购合同，按优于一般中小企业的贷款利率，向相关银行申请信用贷款。</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三）采购单位或者采购代理机构应当按照政府采购合同规定的技术、服务、安全标准组织对供应商履约情况进行验收，并出具验收书。集中采购项目可以由采购单位委托集中采购机构组织验收，专业性较强的项目可以邀请第三方检测机构参与验收。</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（四）采购单位及其委托的采购代理机构在组织实施政府采购活动时，应当执行供应商信用记录查询及使用的相关规定。</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五）高校和科研院所采购用于科研的仪器设备（包括通用设备和专用设备），依法自行组织或委托采购代理机构组织政府采购，并可按规定自主选择评审专家。其中采购的仪器设备涉及进口的，实行备案制管理，财政部门不再进行事前审核。高校和科研院所应建立健全政府采购内控管理制度，做到科研仪器设备采购的全过程公开、透明和</w:t>
      </w:r>
      <w:proofErr w:type="gramStart"/>
      <w:r>
        <w:rPr>
          <w:rFonts w:ascii="仿宋_GB2312" w:hAnsi="仿宋_GB2312" w:cs="仿宋_GB2312" w:hint="eastAsia"/>
          <w:spacing w:val="-3"/>
          <w:kern w:val="0"/>
          <w:szCs w:val="32"/>
        </w:rPr>
        <w:t>可</w:t>
      </w:r>
      <w:proofErr w:type="gramEnd"/>
      <w:r>
        <w:rPr>
          <w:rFonts w:ascii="仿宋_GB2312" w:hAnsi="仿宋_GB2312" w:cs="仿宋_GB2312" w:hint="eastAsia"/>
          <w:spacing w:val="-3"/>
          <w:kern w:val="0"/>
          <w:szCs w:val="32"/>
        </w:rPr>
        <w:t>追溯。</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本条规定适用于2017年1月1日后新立项的科研项目和在</w:t>
      </w:r>
      <w:r>
        <w:rPr>
          <w:rFonts w:ascii="仿宋_GB2312" w:hAnsi="仿宋_GB2312" w:cs="仿宋_GB2312" w:hint="eastAsia"/>
          <w:spacing w:val="-3"/>
          <w:kern w:val="0"/>
          <w:szCs w:val="32"/>
        </w:rPr>
        <w:lastRenderedPageBreak/>
        <w:t>此之前立项但尚在合同期内的科研项目。</w:t>
      </w:r>
    </w:p>
    <w:p w:rsidR="000D4A87" w:rsidRDefault="00B074A2">
      <w:pPr>
        <w:topLinePunct/>
        <w:snapToGrid w:val="0"/>
        <w:spacing w:line="336" w:lineRule="auto"/>
        <w:rPr>
          <w:rFonts w:ascii="仿宋_GB2312" w:hAnsi="仿宋_GB2312" w:cs="仿宋_GB2312"/>
          <w:spacing w:val="-3"/>
          <w:kern w:val="0"/>
          <w:szCs w:val="32"/>
        </w:rPr>
      </w:pPr>
      <w:r>
        <w:rPr>
          <w:rFonts w:ascii="仿宋_GB2312" w:hAnsi="仿宋_GB2312" w:cs="仿宋_GB2312" w:hint="eastAsia"/>
          <w:spacing w:val="-3"/>
          <w:kern w:val="0"/>
          <w:szCs w:val="32"/>
        </w:rPr>
        <w:t xml:space="preserve">    （六）中央与地方共建单位使用中央或地方财政性资金进行的政府采购，可适用中央预算单位集中采购目录及标准。</w:t>
      </w:r>
    </w:p>
    <w:p w:rsidR="000D4A87" w:rsidRDefault="00B074A2" w:rsidP="00BE04ED">
      <w:pPr>
        <w:topLinePunct/>
        <w:snapToGrid w:val="0"/>
        <w:spacing w:line="336" w:lineRule="auto"/>
        <w:ind w:firstLineChars="200" w:firstLine="640"/>
        <w:rPr>
          <w:rFonts w:ascii="仿宋" w:eastAsia="仿宋" w:hAnsi="仿宋" w:cs="仿宋_GB2312"/>
          <w:spacing w:val="-3"/>
          <w:kern w:val="0"/>
          <w:szCs w:val="32"/>
        </w:rPr>
      </w:pPr>
      <w:r>
        <w:rPr>
          <w:rFonts w:ascii="仿宋_GB2312" w:hAnsi="仿宋_GB2312" w:cs="仿宋_GB2312" w:hint="eastAsia"/>
          <w:spacing w:val="-3"/>
          <w:kern w:val="0"/>
          <w:szCs w:val="32"/>
        </w:rPr>
        <w:t>（七）政府采购品目分类目录按照《浙江省财政厅关于印发浙江省2019年度政府采购品目分类目录的通知》（</w:t>
      </w:r>
      <w:proofErr w:type="gramStart"/>
      <w:r>
        <w:rPr>
          <w:rFonts w:ascii="仿宋_GB2312" w:hAnsi="仿宋_GB2312" w:cs="仿宋_GB2312" w:hint="eastAsia"/>
          <w:spacing w:val="-3"/>
          <w:kern w:val="0"/>
          <w:szCs w:val="32"/>
        </w:rPr>
        <w:t>浙财采监</w:t>
      </w:r>
      <w:proofErr w:type="gramEnd"/>
      <w:r>
        <w:rPr>
          <w:rFonts w:ascii="仿宋_GB2312" w:hAnsi="仿宋_GB2312" w:cs="仿宋_GB2312" w:hint="eastAsia"/>
          <w:spacing w:val="-3"/>
          <w:kern w:val="0"/>
          <w:szCs w:val="32"/>
        </w:rPr>
        <w:t>〔2018〕20号）实行。</w:t>
      </w:r>
    </w:p>
    <w:p w:rsidR="000D4A87" w:rsidRDefault="00B074A2" w:rsidP="00BE04ED">
      <w:pPr>
        <w:autoSpaceDN w:val="0"/>
        <w:adjustRightInd w:val="0"/>
        <w:snapToGrid w:val="0"/>
        <w:spacing w:line="336" w:lineRule="auto"/>
        <w:ind w:firstLineChars="200" w:firstLine="640"/>
        <w:rPr>
          <w:rFonts w:ascii="黑体" w:eastAsia="黑体" w:hAnsi="宋体" w:cs="仿宋_GB2312"/>
          <w:spacing w:val="-3"/>
          <w:kern w:val="0"/>
          <w:szCs w:val="32"/>
        </w:rPr>
      </w:pPr>
      <w:r>
        <w:rPr>
          <w:rFonts w:ascii="黑体" w:eastAsia="黑体" w:hAnsi="宋体" w:cs="仿宋_GB2312" w:hint="eastAsia"/>
          <w:spacing w:val="-3"/>
          <w:kern w:val="0"/>
          <w:szCs w:val="32"/>
        </w:rPr>
        <w:t>五、工作要求</w:t>
      </w:r>
    </w:p>
    <w:p w:rsidR="000D4A87" w:rsidRDefault="00B074A2" w:rsidP="00BE04ED">
      <w:pPr>
        <w:autoSpaceDN w:val="0"/>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（一）有关部门要认真贯彻落实“最多跑一次”改革精神，全面提升政府采购效率；财政部门要进一步完善浙江“政</w:t>
      </w:r>
      <w:proofErr w:type="gramStart"/>
      <w:r>
        <w:rPr>
          <w:rFonts w:ascii="仿宋_GB2312" w:hAnsi="仿宋_GB2312" w:cs="仿宋_GB2312" w:hint="eastAsia"/>
          <w:spacing w:val="-3"/>
          <w:kern w:val="0"/>
          <w:szCs w:val="32"/>
        </w:rPr>
        <w:t>采云</w:t>
      </w:r>
      <w:proofErr w:type="gramEnd"/>
      <w:r>
        <w:rPr>
          <w:rFonts w:ascii="仿宋_GB2312" w:hAnsi="仿宋_GB2312" w:cs="仿宋_GB2312" w:hint="eastAsia"/>
          <w:spacing w:val="-3"/>
          <w:kern w:val="0"/>
          <w:szCs w:val="32"/>
        </w:rPr>
        <w:t>”平台建设，大力推进电子化、数字化采购。</w:t>
      </w:r>
    </w:p>
    <w:p w:rsidR="000D4A87" w:rsidRDefault="00B074A2" w:rsidP="00BE04ED">
      <w:pPr>
        <w:autoSpaceDN w:val="0"/>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（二）采购单位应当按照规定建立健全政府采购内控机制，制定实施电子化采购内部规程，加强对本单位实施电子卖场采购的管理，有效防范廉政风险。</w:t>
      </w:r>
    </w:p>
    <w:p w:rsidR="000D4A87" w:rsidRDefault="00B074A2" w:rsidP="00BE04ED">
      <w:pPr>
        <w:autoSpaceDN w:val="0"/>
        <w:adjustRightInd w:val="0"/>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（三）各区、县（市）政府可以结合本地实际，对集中采购目录和采购限额标准进行适当调整，并公开发布本地区执行的集中采购目录和采购限额标准，抄送省财政厅备案。</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区、县（市）政府确需调整公开招标数额标准的，应当报经省政府批准。</w:t>
      </w:r>
    </w:p>
    <w:p w:rsidR="000D4A87" w:rsidRDefault="00B074A2" w:rsidP="00BE04ED">
      <w:pPr>
        <w:topLinePunct/>
        <w:snapToGrid w:val="0"/>
        <w:spacing w:line="336" w:lineRule="auto"/>
        <w:ind w:firstLineChars="200" w:firstLine="640"/>
        <w:rPr>
          <w:rFonts w:ascii="仿宋_GB2312" w:hAnsi="仿宋_GB2312" w:cs="仿宋_GB2312"/>
          <w:spacing w:val="-3"/>
          <w:kern w:val="0"/>
          <w:szCs w:val="32"/>
        </w:rPr>
      </w:pPr>
      <w:r>
        <w:rPr>
          <w:rFonts w:ascii="仿宋_GB2312" w:hAnsi="仿宋_GB2312" w:cs="仿宋_GB2312" w:hint="eastAsia"/>
          <w:spacing w:val="-3"/>
          <w:kern w:val="0"/>
          <w:szCs w:val="32"/>
        </w:rPr>
        <w:t>本通知自2019年4月1日起施行，由市财政局负责牵头组织实施，《杭州市2019年度政府集中采购目录及标准》有效期从2019年1月1日至2019年12月31日；前发文件规定与本通知不一致的，以本通知为准。</w:t>
      </w:r>
    </w:p>
    <w:p w:rsidR="000D4A87" w:rsidRDefault="00B074A2" w:rsidP="00BE04ED">
      <w:pPr>
        <w:topLinePunct/>
        <w:snapToGrid w:val="0"/>
        <w:spacing w:line="336" w:lineRule="auto"/>
        <w:ind w:firstLineChars="200" w:firstLine="628"/>
        <w:rPr>
          <w:rFonts w:ascii="仿宋_GB2312" w:hAnsi="仿宋_GB2312" w:cs="仿宋_GB2312"/>
          <w:kern w:val="0"/>
          <w:szCs w:val="32"/>
        </w:rPr>
      </w:pPr>
      <w:r>
        <w:rPr>
          <w:rFonts w:ascii="仿宋_GB2312" w:hAnsi="仿宋_GB2312" w:cs="仿宋_GB2312" w:hint="eastAsia"/>
          <w:kern w:val="0"/>
          <w:szCs w:val="32"/>
        </w:rPr>
        <w:lastRenderedPageBreak/>
        <w:t>附件：杭州市2019年度政府集中采购目录及标准</w:t>
      </w:r>
    </w:p>
    <w:p w:rsidR="000D4A87" w:rsidRDefault="000D4A87" w:rsidP="00BE04ED">
      <w:pPr>
        <w:topLinePunct/>
        <w:snapToGrid w:val="0"/>
        <w:spacing w:line="336" w:lineRule="auto"/>
        <w:ind w:firstLineChars="200" w:firstLine="628"/>
        <w:rPr>
          <w:rFonts w:ascii="仿宋_GB2312" w:hAnsi="仿宋_GB2312" w:cs="仿宋_GB2312"/>
          <w:kern w:val="0"/>
          <w:szCs w:val="32"/>
        </w:rPr>
      </w:pPr>
    </w:p>
    <w:p w:rsidR="000D4A87" w:rsidRDefault="000D4A87" w:rsidP="00BE04ED">
      <w:pPr>
        <w:topLinePunct/>
        <w:snapToGrid w:val="0"/>
        <w:spacing w:line="336" w:lineRule="auto"/>
        <w:ind w:firstLineChars="200" w:firstLine="628"/>
        <w:rPr>
          <w:rFonts w:ascii="仿宋_GB2312" w:hAnsi="仿宋_GB2312" w:cs="仿宋_GB2312"/>
          <w:kern w:val="0"/>
          <w:szCs w:val="32"/>
        </w:rPr>
      </w:pPr>
    </w:p>
    <w:p w:rsidR="000D4A87" w:rsidRDefault="00B074A2">
      <w:pPr>
        <w:wordWrap w:val="0"/>
        <w:jc w:val="right"/>
        <w:rPr>
          <w:rFonts w:ascii="仿宋_GB2312" w:hAnsi="仿宋_GB2312" w:cs="仿宋_GB2312"/>
          <w:szCs w:val="32"/>
        </w:rPr>
      </w:pPr>
      <w:r>
        <w:rPr>
          <w:rFonts w:ascii="仿宋_GB2312" w:hAnsi="仿宋_GB2312" w:cs="仿宋_GB2312" w:hint="eastAsia"/>
          <w:szCs w:val="32"/>
        </w:rPr>
        <w:t xml:space="preserve">杭州市人民政府办公厅      </w:t>
      </w:r>
    </w:p>
    <w:p w:rsidR="000D4A87" w:rsidRDefault="00B074A2">
      <w:pPr>
        <w:wordWrap w:val="0"/>
        <w:jc w:val="right"/>
        <w:rPr>
          <w:rFonts w:ascii="仿宋_GB2312" w:hAnsi="仿宋_GB2312" w:cs="仿宋_GB2312"/>
          <w:szCs w:val="32"/>
        </w:rPr>
      </w:pPr>
      <w:r>
        <w:rPr>
          <w:rFonts w:ascii="仿宋_GB2312" w:hAnsi="仿宋_GB2312" w:cs="仿宋_GB2312" w:hint="eastAsia"/>
          <w:szCs w:val="32"/>
        </w:rPr>
        <w:t xml:space="preserve">2019年2月28日        </w:t>
      </w:r>
    </w:p>
    <w:p w:rsidR="000D4A87" w:rsidRDefault="000D4A87">
      <w:pPr>
        <w:topLinePunct/>
        <w:snapToGrid w:val="0"/>
        <w:spacing w:line="336" w:lineRule="auto"/>
        <w:rPr>
          <w:rFonts w:ascii="仿宋_GB2312" w:hAnsi="仿宋_GB2312" w:cs="仿宋_GB2312"/>
          <w:kern w:val="0"/>
          <w:szCs w:val="32"/>
        </w:rPr>
      </w:pPr>
    </w:p>
    <w:p w:rsidR="000D4A87" w:rsidRDefault="00B074A2" w:rsidP="00BE04ED">
      <w:pPr>
        <w:topLinePunct/>
        <w:snapToGrid w:val="0"/>
        <w:spacing w:line="336" w:lineRule="auto"/>
        <w:ind w:firstLineChars="200" w:firstLine="628"/>
        <w:jc w:val="left"/>
        <w:rPr>
          <w:rFonts w:ascii="仿宋_GB2312" w:hAnsi="仿宋_GB2312" w:cs="仿宋_GB2312"/>
          <w:kern w:val="0"/>
          <w:szCs w:val="32"/>
        </w:rPr>
      </w:pPr>
      <w:r>
        <w:rPr>
          <w:rFonts w:ascii="仿宋_GB2312" w:hAnsi="仿宋_GB2312" w:cs="仿宋_GB2312" w:hint="eastAsia"/>
          <w:kern w:val="0"/>
          <w:szCs w:val="32"/>
        </w:rPr>
        <w:t>（此件可公开发布）</w:t>
      </w:r>
    </w:p>
    <w:p w:rsidR="000D4A87" w:rsidRDefault="00B074A2">
      <w:pPr>
        <w:topLinePunct/>
        <w:snapToGrid w:val="0"/>
        <w:spacing w:line="336" w:lineRule="auto"/>
        <w:jc w:val="left"/>
        <w:rPr>
          <w:rFonts w:ascii="黑体" w:eastAsia="黑体" w:hAnsi="宋体" w:cs="仿宋_GB2312"/>
          <w:kern w:val="0"/>
          <w:szCs w:val="32"/>
        </w:rPr>
      </w:pPr>
      <w:r>
        <w:rPr>
          <w:rFonts w:ascii="仿宋" w:eastAsia="仿宋" w:hAnsi="仿宋" w:cs="仿宋_GB2312" w:hint="eastAsia"/>
          <w:kern w:val="0"/>
          <w:szCs w:val="32"/>
        </w:rPr>
        <w:br w:type="page"/>
      </w:r>
      <w:r>
        <w:rPr>
          <w:rFonts w:ascii="黑体" w:eastAsia="黑体" w:hAnsi="宋体" w:cs="仿宋_GB2312" w:hint="eastAsia"/>
          <w:kern w:val="0"/>
          <w:szCs w:val="32"/>
        </w:rPr>
        <w:lastRenderedPageBreak/>
        <w:t>附件</w:t>
      </w:r>
    </w:p>
    <w:p w:rsidR="000D4A87" w:rsidRDefault="00B074A2">
      <w:pPr>
        <w:topLinePunct/>
        <w:snapToGrid w:val="0"/>
        <w:spacing w:line="240" w:lineRule="auto"/>
        <w:jc w:val="center"/>
        <w:rPr>
          <w:rFonts w:ascii="方正书宋_GBK" w:eastAsia="方正书宋_GBK" w:hAnsi="方正书宋_GBK" w:cs="方正书宋_GBK"/>
          <w:bCs/>
          <w:kern w:val="0"/>
          <w:sz w:val="44"/>
          <w:szCs w:val="44"/>
        </w:rPr>
      </w:pPr>
      <w:r>
        <w:rPr>
          <w:rFonts w:ascii="方正书宋_GBK" w:eastAsia="方正书宋_GBK" w:hAnsi="方正书宋_GBK" w:cs="方正书宋_GBK" w:hint="eastAsia"/>
          <w:bCs/>
          <w:kern w:val="0"/>
          <w:sz w:val="44"/>
          <w:szCs w:val="44"/>
        </w:rPr>
        <w:t>杭州市2019年度政府集中采购目录及标准</w:t>
      </w:r>
    </w:p>
    <w:tbl>
      <w:tblPr>
        <w:tblW w:w="0" w:type="auto"/>
        <w:jc w:val="center"/>
        <w:tblLayout w:type="fixed"/>
        <w:tblLook w:val="0000" w:firstRow="0" w:lastRow="0" w:firstColumn="0" w:lastColumn="0" w:noHBand="0" w:noVBand="0"/>
      </w:tblPr>
      <w:tblGrid>
        <w:gridCol w:w="1362"/>
        <w:gridCol w:w="1945"/>
        <w:gridCol w:w="112"/>
        <w:gridCol w:w="3480"/>
        <w:gridCol w:w="1945"/>
      </w:tblGrid>
      <w:tr w:rsidR="000D4A87">
        <w:trPr>
          <w:jc w:val="center"/>
        </w:trPr>
        <w:tc>
          <w:tcPr>
            <w:tcW w:w="8844" w:type="dxa"/>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left"/>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一、集中采购目录</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项目代码</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项目名称</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主要规格及配置（限额标准）</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备注</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A</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货物类</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黑体" w:eastAsia="黑体" w:hAnsi="黑体" w:cs="黑体"/>
                <w:bCs/>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黑体" w:eastAsia="黑体" w:hAnsi="黑体" w:cs="黑体"/>
                <w:bCs/>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A02010103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服务器</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年度预算金额在1万元以下无需编制政府采购预算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A02010104</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台式计算机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A02010105</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便携式计算机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A02010201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路由器</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年度预算金额在1万元以下无需编制政府采购预算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A02010202</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交换设备</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限于交换机。年度预算金额在1万元以下无需编制政府采购预算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信息安全设备</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限于负载均衡设备、防火墙、网闸。年度预算金额在1万元以下无需编制政府采购预算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A020105</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存储设备</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限于磁盘阵列、存储用光纤交换机。年度预算金额在1万元以下无需编制政府采购预算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A02010601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打印设备</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限于喷墨、激光、热式打印机，不包括针式打印机和条码专用打印机</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A0201060901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扫描仪</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A02010801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基础软件</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bCs/>
                <w:color w:val="000000"/>
                <w:kern w:val="0"/>
                <w:sz w:val="24"/>
                <w:szCs w:val="24"/>
              </w:rPr>
              <w:t>限于办公软件和操作系统软件，无需编制政府采购预算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A020201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复印机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A020202</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投影仪</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A020204</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多功能一体机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限于复印、打印、传真一体机</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A020210</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文</w:t>
            </w:r>
            <w:proofErr w:type="gramStart"/>
            <w:r>
              <w:rPr>
                <w:rFonts w:ascii="仿宋_GB2312" w:hAnsi="宋体" w:cs="仿宋_GB2312" w:hint="eastAsia"/>
                <w:color w:val="000000"/>
                <w:kern w:val="0"/>
                <w:sz w:val="24"/>
                <w:szCs w:val="24"/>
              </w:rPr>
              <w:t>印设备</w:t>
            </w:r>
            <w:proofErr w:type="gramEnd"/>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A02021001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速印机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A02021002</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胶印机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A02021006</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油印机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A020305</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乘用车</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A020306</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客车</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lastRenderedPageBreak/>
              <w:t>项目代码</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t>项目名称</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sz w:val="24"/>
                <w:szCs w:val="24"/>
              </w:rPr>
            </w:pPr>
            <w:r>
              <w:rPr>
                <w:rFonts w:ascii="黑体" w:eastAsia="黑体" w:hAnsi="黑体" w:cs="黑体" w:hint="eastAsia"/>
                <w:bCs/>
                <w:color w:val="000000"/>
                <w:kern w:val="0"/>
                <w:sz w:val="24"/>
                <w:szCs w:val="24"/>
              </w:rPr>
              <w:t>主要规格及配置（限额标准）</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sz w:val="24"/>
                <w:szCs w:val="24"/>
              </w:rPr>
            </w:pPr>
            <w:r>
              <w:rPr>
                <w:rFonts w:ascii="黑体" w:eastAsia="黑体" w:hAnsi="黑体" w:cs="黑体" w:hint="eastAsia"/>
                <w:bCs/>
                <w:color w:val="000000"/>
                <w:kern w:val="0"/>
                <w:sz w:val="24"/>
                <w:szCs w:val="24"/>
              </w:rPr>
              <w:t>备注</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A020307</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专用车辆</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A0206180203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空调机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限于中央空调、多联式空调、恒温恒湿精密空调、壁挂式空调、吸顶机、柜机</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A020808</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视频会议系统设备</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A02081001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传真机</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A02091001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普通电视设备</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限于电视机</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免费避孕药具</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A050201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义务教育教科书</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A05020101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国家课程</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A05020102</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省级地方课程</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A05020103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配套作业本</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白练习本由各地集中采购，其余由全省统一集中采购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A0601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办公家具</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限于木制家具、钢制家具、塑制家具、宿舍家具和</w:t>
            </w:r>
            <w:proofErr w:type="gramStart"/>
            <w:r>
              <w:rPr>
                <w:rFonts w:ascii="仿宋_GB2312" w:hAnsi="宋体" w:cs="仿宋_GB2312" w:hint="eastAsia"/>
                <w:color w:val="000000"/>
                <w:kern w:val="0"/>
                <w:sz w:val="24"/>
                <w:szCs w:val="24"/>
              </w:rPr>
              <w:t>校具</w:t>
            </w:r>
            <w:proofErr w:type="gramEnd"/>
            <w:r>
              <w:rPr>
                <w:rFonts w:ascii="仿宋_GB2312" w:hAnsi="宋体" w:cs="仿宋_GB2312" w:hint="eastAsia"/>
                <w:color w:val="000000"/>
                <w:kern w:val="0"/>
                <w:sz w:val="24"/>
                <w:szCs w:val="24"/>
              </w:rPr>
              <w:t>。年度预算金额在200万元以下无需编制政府采购预算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A070301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工作制服</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限于执法人员统一着装。年度预算金额在200万元以下无需编制政府采购预算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A0901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纸制文具及办公用品</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限于复印纸，无需编制政府采购预算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kern w:val="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bCs/>
                <w:kern w:val="0"/>
                <w:sz w:val="24"/>
                <w:szCs w:val="24"/>
              </w:rPr>
              <w:t>A110503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bCs/>
                <w:kern w:val="0"/>
                <w:sz w:val="24"/>
                <w:szCs w:val="24"/>
              </w:rPr>
              <w:t>兽用疫苗</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指动物疾病防控疫苗。无需编制政府采购预算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bCs/>
                <w:kern w:val="0"/>
                <w:sz w:val="24"/>
                <w:szCs w:val="24"/>
              </w:rPr>
              <w:t>A110703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bCs/>
                <w:kern w:val="0"/>
                <w:sz w:val="24"/>
                <w:szCs w:val="24"/>
              </w:rPr>
              <w:t>人用疫苗</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指一类、二类疫苗。无需编制政府采购预算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A20</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辅助学习资源</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限于义务教育。无需编制政府采购预算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限于全省教育系统</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A2001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音像教材</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限于义务教育。无需编制政府采购预算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A2002</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学具</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限于义务教育。无需编制政府采购预算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A2003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bCs/>
                <w:color w:val="000000"/>
                <w:kern w:val="0"/>
                <w:sz w:val="24"/>
                <w:szCs w:val="24"/>
              </w:rPr>
            </w:pPr>
            <w:r>
              <w:rPr>
                <w:rFonts w:ascii="仿宋_GB2312" w:hAnsi="宋体" w:cs="仿宋_GB2312" w:hint="eastAsia"/>
                <w:bCs/>
                <w:kern w:val="0"/>
                <w:sz w:val="24"/>
                <w:szCs w:val="24"/>
              </w:rPr>
              <w:t>科学计算器</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40"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限于义务教育。无需编制政府采购预算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全省统一集中采购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kern w:val="0"/>
                <w:sz w:val="24"/>
                <w:szCs w:val="24"/>
              </w:rPr>
            </w:pPr>
            <w:r>
              <w:rPr>
                <w:rFonts w:ascii="黑体" w:eastAsia="黑体" w:hAnsi="黑体" w:cs="黑体" w:hint="eastAsia"/>
                <w:bCs/>
                <w:color w:val="000000"/>
                <w:kern w:val="0"/>
                <w:sz w:val="24"/>
                <w:szCs w:val="24"/>
              </w:rPr>
              <w:lastRenderedPageBreak/>
              <w:t>项目代码</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kern w:val="0"/>
                <w:sz w:val="24"/>
                <w:szCs w:val="24"/>
              </w:rPr>
            </w:pPr>
            <w:r>
              <w:rPr>
                <w:rFonts w:ascii="黑体" w:eastAsia="黑体" w:hAnsi="黑体" w:cs="黑体" w:hint="eastAsia"/>
                <w:bCs/>
                <w:color w:val="000000"/>
                <w:kern w:val="0"/>
                <w:sz w:val="24"/>
                <w:szCs w:val="24"/>
              </w:rPr>
              <w:t>项目名称</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t>主要规格及配置（限额标准）</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黑体" w:eastAsia="黑体" w:hAnsi="黑体" w:cs="黑体" w:hint="eastAsia"/>
                <w:bCs/>
                <w:color w:val="000000"/>
                <w:kern w:val="0"/>
                <w:sz w:val="24"/>
                <w:szCs w:val="24"/>
              </w:rPr>
              <w:t>备注</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C</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服务类</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仿宋_GB2312"/>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rPr>
                <w:rFonts w:ascii="仿宋_GB2312" w:hAnsi="宋体" w:cs="宋体"/>
                <w:color w:val="000000"/>
                <w:sz w:val="24"/>
                <w:szCs w:val="24"/>
              </w:rPr>
            </w:pP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C0301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电信服务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限于网络线路租赁。无需编制政府采购预算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C0403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车辆及其他运输机械租赁服务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限于公务出行用车服务。无需编制政府采购预算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C050301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车辆维修和保养服务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C050302</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车辆加油服务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C060102</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一般会议服务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限于本单位组织会议所产生费用。无需编制政府采购预算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C0803</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审计服务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C081401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印刷服务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C0820</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绩效评价服务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C1204</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物业管理服务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C15040201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机动车保险服务</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C180601</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省内培训</w:t>
            </w:r>
          </w:p>
        </w:tc>
        <w:tc>
          <w:tcPr>
            <w:tcW w:w="359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限于本单位组织培训所产生费用。无需编制政府采购预算</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kern w:val="0"/>
                <w:sz w:val="24"/>
                <w:szCs w:val="24"/>
              </w:rPr>
            </w:pPr>
            <w:r>
              <w:rPr>
                <w:rFonts w:ascii="仿宋_GB2312" w:hAnsi="宋体" w:cs="宋体" w:hint="eastAsia"/>
                <w:color w:val="000000"/>
                <w:kern w:val="0"/>
                <w:sz w:val="24"/>
                <w:szCs w:val="24"/>
              </w:rPr>
              <w:t>定点采购</w:t>
            </w:r>
          </w:p>
        </w:tc>
      </w:tr>
      <w:tr w:rsidR="000D4A87">
        <w:trPr>
          <w:jc w:val="center"/>
        </w:trPr>
        <w:tc>
          <w:tcPr>
            <w:tcW w:w="8844" w:type="dxa"/>
            <w:gridSpan w:val="5"/>
            <w:tcBorders>
              <w:top w:val="single" w:sz="4" w:space="0" w:color="000000"/>
              <w:left w:val="single" w:sz="4" w:space="0" w:color="000000"/>
              <w:bottom w:val="single" w:sz="4" w:space="0" w:color="000000"/>
              <w:right w:val="single" w:sz="4" w:space="0" w:color="auto"/>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left"/>
              <w:textAlignment w:val="center"/>
              <w:rPr>
                <w:rFonts w:ascii="黑体" w:eastAsia="黑体" w:hAnsi="黑体" w:cs="黑体"/>
                <w:bCs/>
                <w:color w:val="000000"/>
                <w:sz w:val="24"/>
                <w:szCs w:val="24"/>
              </w:rPr>
            </w:pPr>
            <w:r>
              <w:rPr>
                <w:rFonts w:ascii="黑体" w:eastAsia="黑体" w:hAnsi="黑体" w:cs="黑体" w:hint="eastAsia"/>
                <w:bCs/>
                <w:color w:val="000000"/>
                <w:kern w:val="0"/>
                <w:sz w:val="24"/>
                <w:szCs w:val="24"/>
              </w:rPr>
              <w:t>二、部门集中采购目录</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项目代码</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kern w:val="0"/>
                <w:sz w:val="24"/>
                <w:szCs w:val="24"/>
              </w:rPr>
            </w:pPr>
            <w:r>
              <w:rPr>
                <w:rFonts w:ascii="黑体" w:eastAsia="黑体" w:hAnsi="黑体" w:cs="黑体" w:hint="eastAsia"/>
                <w:bCs/>
                <w:kern w:val="0"/>
                <w:sz w:val="24"/>
                <w:szCs w:val="24"/>
              </w:rPr>
              <w:t>项目名称</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主要规格及配置（限额标准）</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黑体" w:eastAsia="黑体" w:hAnsi="黑体" w:cs="黑体"/>
                <w:bCs/>
                <w:color w:val="000000"/>
                <w:kern w:val="0"/>
                <w:sz w:val="24"/>
                <w:szCs w:val="24"/>
              </w:rPr>
            </w:pPr>
            <w:r>
              <w:rPr>
                <w:rFonts w:ascii="黑体" w:eastAsia="黑体" w:hAnsi="黑体" w:cs="黑体" w:hint="eastAsia"/>
                <w:bCs/>
                <w:color w:val="000000"/>
                <w:kern w:val="0"/>
                <w:sz w:val="24"/>
                <w:szCs w:val="24"/>
              </w:rPr>
              <w:t>备注</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kern w:val="0"/>
                <w:sz w:val="24"/>
                <w:szCs w:val="24"/>
              </w:rPr>
            </w:pPr>
            <w:r>
              <w:rPr>
                <w:rFonts w:ascii="仿宋_GB2312" w:hAnsi="宋体" w:cs="仿宋_GB2312" w:hint="eastAsia"/>
                <w:kern w:val="0"/>
                <w:sz w:val="24"/>
                <w:szCs w:val="24"/>
              </w:rPr>
              <w:t>医疗设备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A032001</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手术器械</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A032002</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普通诊察器械</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A032003</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医用电子生理参数检测仪器设备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sz w:val="24"/>
                <w:szCs w:val="24"/>
              </w:rPr>
            </w:pPr>
            <w:r>
              <w:rPr>
                <w:rFonts w:ascii="仿宋_GB2312" w:hAnsi="宋体" w:cs="仿宋_GB2312" w:hint="eastAsia"/>
                <w:color w:val="000000"/>
                <w:kern w:val="0"/>
                <w:sz w:val="24"/>
                <w:szCs w:val="24"/>
              </w:rPr>
              <w:t>A032004</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sz w:val="24"/>
                <w:szCs w:val="24"/>
              </w:rPr>
            </w:pPr>
            <w:r>
              <w:rPr>
                <w:rFonts w:ascii="仿宋_GB2312" w:hAnsi="宋体" w:cs="仿宋_GB2312" w:hint="eastAsia"/>
                <w:color w:val="000000"/>
                <w:kern w:val="0"/>
                <w:sz w:val="24"/>
                <w:szCs w:val="24"/>
              </w:rPr>
              <w:t>医用光学仪器</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宋体"/>
                <w:color w:val="00000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宋体"/>
                <w:color w:val="00000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A032005</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医用超声波仪器及设备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A032006</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医用激光仪器及设备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A032007</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医用内窥镜</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A032008</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物理治疗、康复及体育治疗仪器设备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A032009</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中医器械设备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lastRenderedPageBreak/>
              <w:t>项目代码</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t>项目名称</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t>主要规格及配置（限额标准）</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t>备注</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A032010</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医用磁共振设备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A032011</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sz w:val="24"/>
                <w:szCs w:val="24"/>
              </w:rPr>
            </w:pPr>
            <w:r>
              <w:rPr>
                <w:rStyle w:val="font21"/>
                <w:rFonts w:hAnsi="宋体" w:hint="default"/>
                <w:b w:val="0"/>
                <w:sz w:val="24"/>
                <w:szCs w:val="24"/>
              </w:rPr>
              <w:t>医用</w:t>
            </w:r>
            <w:r>
              <w:rPr>
                <w:rStyle w:val="font51"/>
                <w:rFonts w:ascii="仿宋_GB2312" w:eastAsia="仿宋_GB2312" w:hAnsi="宋体" w:cs="仿宋_GB2312" w:hint="eastAsia"/>
                <w:sz w:val="24"/>
                <w:szCs w:val="24"/>
              </w:rPr>
              <w:t>X</w:t>
            </w:r>
            <w:r>
              <w:rPr>
                <w:rStyle w:val="font61"/>
                <w:rFonts w:ascii="仿宋_GB2312" w:eastAsia="仿宋_GB2312" w:cs="仿宋_GB2312" w:hint="default"/>
                <w:sz w:val="24"/>
                <w:szCs w:val="24"/>
              </w:rPr>
              <w:t>线设备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A032012</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sz w:val="24"/>
                <w:szCs w:val="24"/>
              </w:rPr>
            </w:pPr>
            <w:r>
              <w:rPr>
                <w:rStyle w:val="font21"/>
                <w:rFonts w:hAnsi="宋体" w:hint="default"/>
                <w:b w:val="0"/>
                <w:sz w:val="24"/>
                <w:szCs w:val="24"/>
              </w:rPr>
              <w:t>医用</w:t>
            </w:r>
            <w:r>
              <w:rPr>
                <w:rStyle w:val="font51"/>
                <w:rFonts w:ascii="仿宋_GB2312" w:eastAsia="仿宋_GB2312" w:hAnsi="宋体" w:cs="仿宋_GB2312" w:hint="eastAsia"/>
                <w:sz w:val="24"/>
                <w:szCs w:val="24"/>
              </w:rPr>
              <w:t>X</w:t>
            </w:r>
            <w:r>
              <w:rPr>
                <w:rStyle w:val="font61"/>
                <w:rFonts w:ascii="仿宋_GB2312" w:eastAsia="仿宋_GB2312" w:cs="仿宋_GB2312" w:hint="default"/>
                <w:sz w:val="24"/>
                <w:szCs w:val="24"/>
              </w:rPr>
              <w:t>线附属设备及部件</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A032013</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医用高能射线设备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A032014</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核医学设备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A032015</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医用射线防护设备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A032016</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医用射线监检测设备及用具</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A032017</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临床检验设备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A032018</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药房设备及器具</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A032019</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体外循环设备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A032020</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人工脏器及功能辅助装置</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A032022</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手术急救设备及器具</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A032023</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口腔科设备及技工室器具</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A032024</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病房护理及医院通用设备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A032025</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消毒灭菌设备及器具</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A032026</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医用低温、冷疗设备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A032027</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防疫、防护卫生装备及器具</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A032028</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助残器具</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A032031</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兽医设备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A032032</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医疗设备零部件</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A032033</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属于国际招标的医疗设备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A032099</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其他医疗设备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市卫生健康委员会</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A033412</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kern w:val="0"/>
                <w:sz w:val="24"/>
                <w:szCs w:val="24"/>
              </w:rPr>
            </w:pPr>
            <w:r>
              <w:rPr>
                <w:rFonts w:ascii="仿宋_GB2312" w:hAnsi="宋体" w:cs="仿宋_GB2312" w:hint="eastAsia"/>
                <w:kern w:val="0"/>
                <w:sz w:val="24"/>
                <w:szCs w:val="24"/>
              </w:rPr>
              <w:t>教学专用设备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72" w:lineRule="auto"/>
              <w:jc w:val="center"/>
              <w:textAlignment w:val="center"/>
              <w:rPr>
                <w:rFonts w:ascii="仿宋_GB2312" w:hAnsi="宋体" w:cs="仿宋_GB2312"/>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72"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lastRenderedPageBreak/>
              <w:t>项目代码</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kern w:val="0"/>
                <w:sz w:val="24"/>
                <w:szCs w:val="24"/>
              </w:rPr>
            </w:pPr>
            <w:r>
              <w:rPr>
                <w:rFonts w:ascii="黑体" w:eastAsia="黑体" w:hAnsi="黑体" w:cs="黑体" w:hint="eastAsia"/>
                <w:bCs/>
                <w:color w:val="000000"/>
                <w:kern w:val="0"/>
                <w:sz w:val="24"/>
                <w:szCs w:val="24"/>
              </w:rPr>
              <w:t>项目名称</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kern w:val="0"/>
                <w:sz w:val="24"/>
                <w:szCs w:val="24"/>
              </w:rPr>
            </w:pPr>
            <w:r>
              <w:rPr>
                <w:rFonts w:ascii="黑体" w:eastAsia="黑体" w:hAnsi="黑体" w:cs="黑体" w:hint="eastAsia"/>
                <w:bCs/>
                <w:color w:val="000000"/>
                <w:kern w:val="0"/>
                <w:sz w:val="24"/>
                <w:szCs w:val="24"/>
              </w:rPr>
              <w:t>主要规格及配置（限额标准）</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黑体" w:eastAsia="黑体" w:hAnsi="黑体" w:cs="黑体" w:hint="eastAsia"/>
                <w:bCs/>
                <w:color w:val="000000"/>
                <w:kern w:val="0"/>
                <w:sz w:val="24"/>
                <w:szCs w:val="24"/>
              </w:rPr>
              <w:t>备注</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A03341201</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普教仪器设备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高中（含）以下学校各类实验室（包括专用功能教室、学科教室、创新实验室）教学仪器设备、标本、模型、挂图、实验桌柜，以及配套教学的设备、设施等</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A03341203</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机床类仪器设备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限于中等职业教育</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A03341204</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汽车维修类仪器设备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限于中等职业教育</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A03341205</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电子电工类仪器设备</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限于中等职业教育</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A050102</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中小学、学前教育图书资料</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限于高中（含）以下学校、学前教育机构</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A2004</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教育信息化工程辅助学习资源</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限于高中（含）以下普通中小学校和中等职业学校直接从市场购买的、非定制开发的、成熟的商业教育信息化工程辅助学习资源</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A2005</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教育教学软件</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限于高中（含）以下学校直接从市场购买的、非定制开发的、成熟的商业教育教学软件</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A2006</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学前教育玩教具</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0D4A87">
            <w:pPr>
              <w:widowControl/>
              <w:snapToGrid w:val="0"/>
              <w:spacing w:line="264" w:lineRule="auto"/>
              <w:jc w:val="center"/>
              <w:textAlignment w:val="center"/>
              <w:rPr>
                <w:rFonts w:ascii="仿宋_GB2312" w:hAnsi="宋体" w:cs="仿宋_GB2312"/>
                <w:color w:val="000000"/>
                <w:kern w:val="0"/>
                <w:sz w:val="24"/>
                <w:szCs w:val="24"/>
              </w:rPr>
            </w:pP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C020101</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教育信息化工程辅助学习资源开发任务</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限于高中（含）以下学校定制开发的教育信息化工程辅助学习资源</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r w:rsidR="000D4A87">
        <w:trPr>
          <w:jc w:val="center"/>
        </w:trPr>
        <w:tc>
          <w:tcPr>
            <w:tcW w:w="13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C020102</w:t>
            </w:r>
          </w:p>
        </w:tc>
        <w:tc>
          <w:tcPr>
            <w:tcW w:w="20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教育教学软件开发服务</w:t>
            </w:r>
          </w:p>
        </w:tc>
        <w:tc>
          <w:tcPr>
            <w:tcW w:w="34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限于高中（含）以下学校定制开发的教育教学软件</w:t>
            </w:r>
          </w:p>
        </w:tc>
        <w:tc>
          <w:tcPr>
            <w:tcW w:w="1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0D4A87" w:rsidRDefault="00B074A2">
            <w:pPr>
              <w:widowControl/>
              <w:snapToGrid w:val="0"/>
              <w:spacing w:line="264" w:lineRule="auto"/>
              <w:jc w:val="center"/>
              <w:textAlignment w:val="center"/>
              <w:rPr>
                <w:rFonts w:ascii="仿宋_GB2312" w:hAnsi="宋体" w:cs="仿宋_GB2312"/>
                <w:color w:val="000000"/>
                <w:kern w:val="0"/>
                <w:sz w:val="24"/>
                <w:szCs w:val="24"/>
              </w:rPr>
            </w:pPr>
            <w:r>
              <w:rPr>
                <w:rFonts w:ascii="仿宋_GB2312" w:hAnsi="宋体" w:cs="仿宋_GB2312" w:hint="eastAsia"/>
                <w:color w:val="000000"/>
                <w:kern w:val="0"/>
                <w:sz w:val="24"/>
                <w:szCs w:val="24"/>
              </w:rPr>
              <w:t>市教育局</w:t>
            </w:r>
          </w:p>
        </w:tc>
      </w:tr>
    </w:tbl>
    <w:p w:rsidR="000D4A87" w:rsidRDefault="000D4A87" w:rsidP="00BE04ED">
      <w:pPr>
        <w:topLinePunct/>
        <w:snapToGrid w:val="0"/>
        <w:spacing w:line="336" w:lineRule="auto"/>
        <w:ind w:firstLineChars="200" w:firstLine="188"/>
        <w:rPr>
          <w:rFonts w:ascii="仿宋_GB2312" w:hAnsi="宋体" w:cs="仿宋_GB2312"/>
          <w:color w:val="000000"/>
          <w:kern w:val="0"/>
          <w:sz w:val="10"/>
          <w:szCs w:val="10"/>
        </w:rPr>
      </w:pPr>
    </w:p>
    <w:p w:rsidR="000D4A87" w:rsidRDefault="00B074A2">
      <w:pPr>
        <w:topLinePunct/>
        <w:snapToGrid w:val="0"/>
        <w:spacing w:line="264" w:lineRule="auto"/>
        <w:rPr>
          <w:rFonts w:ascii="楷体_GB2312" w:eastAsia="楷体_GB2312" w:hAnsi="楷体_GB2312" w:cs="楷体_GB2312"/>
          <w:color w:val="000000"/>
          <w:kern w:val="0"/>
          <w:sz w:val="24"/>
          <w:szCs w:val="24"/>
        </w:rPr>
      </w:pPr>
      <w:r>
        <w:rPr>
          <w:rFonts w:ascii="楷体_GB2312" w:eastAsia="楷体_GB2312" w:hAnsi="楷体_GB2312" w:cs="楷体_GB2312" w:hint="eastAsia"/>
          <w:color w:val="000000"/>
          <w:kern w:val="0"/>
          <w:sz w:val="24"/>
          <w:szCs w:val="24"/>
        </w:rPr>
        <w:t>备注：1.部门集中采纳目录中，年度预算金额在10万元以下的无需编制政府采购预算。</w:t>
      </w:r>
    </w:p>
    <w:p w:rsidR="000D4A87" w:rsidRDefault="00B074A2">
      <w:pPr>
        <w:topLinePunct/>
        <w:snapToGrid w:val="0"/>
        <w:spacing w:line="264" w:lineRule="auto"/>
        <w:rPr>
          <w:rFonts w:ascii="楷体_GB2312" w:eastAsia="楷体_GB2312" w:hAnsi="楷体_GB2312" w:cs="楷体_GB2312"/>
        </w:rPr>
      </w:pPr>
      <w:r>
        <w:rPr>
          <w:rFonts w:ascii="楷体_GB2312" w:eastAsia="楷体_GB2312" w:hAnsi="楷体_GB2312" w:cs="楷体_GB2312" w:hint="eastAsia"/>
          <w:color w:val="000000"/>
          <w:kern w:val="0"/>
          <w:sz w:val="24"/>
          <w:szCs w:val="24"/>
        </w:rPr>
        <w:t xml:space="preserve">      2.除标注外，“以下”均不含本数。</w:t>
      </w:r>
    </w:p>
    <w:p w:rsidR="000D4A87" w:rsidRDefault="000D4A87" w:rsidP="00BE04ED">
      <w:pPr>
        <w:snapToGrid w:val="0"/>
        <w:spacing w:line="336" w:lineRule="auto"/>
        <w:ind w:firstLineChars="200" w:firstLine="628"/>
      </w:pPr>
    </w:p>
    <w:p w:rsidR="000D4A87" w:rsidRDefault="000D4A87">
      <w:pPr>
        <w:adjustRightInd w:val="0"/>
        <w:snapToGrid w:val="0"/>
        <w:spacing w:line="336" w:lineRule="auto"/>
        <w:ind w:firstLineChars="200" w:firstLine="652"/>
        <w:rPr>
          <w:rFonts w:ascii="仿宋_GB2312" w:hAnsi="仿宋_GB2312" w:cs="仿宋_GB2312"/>
          <w:spacing w:val="0"/>
          <w:kern w:val="0"/>
          <w:szCs w:val="32"/>
        </w:rPr>
      </w:pPr>
    </w:p>
    <w:p w:rsidR="000D4A87" w:rsidRDefault="000D4A87">
      <w:pPr>
        <w:autoSpaceDN w:val="0"/>
        <w:snapToGrid w:val="0"/>
        <w:spacing w:line="336" w:lineRule="auto"/>
        <w:ind w:firstLineChars="100" w:firstLine="274"/>
        <w:jc w:val="right"/>
        <w:rPr>
          <w:rFonts w:ascii="仿宋_GB2312" w:hAnsi="仿宋_GB2312" w:cs="仿宋_GB2312"/>
          <w:sz w:val="28"/>
          <w:szCs w:val="28"/>
        </w:rPr>
        <w:sectPr w:rsidR="000D4A87" w:rsidSect="00597086">
          <w:footerReference w:type="even" r:id="rId8"/>
          <w:footerReference w:type="default" r:id="rId9"/>
          <w:pgSz w:w="11906" w:h="16838"/>
          <w:pgMar w:top="2013" w:right="1474" w:bottom="1899" w:left="1588" w:header="851" w:footer="1077" w:gutter="0"/>
          <w:pgNumType w:start="104"/>
          <w:cols w:space="720"/>
          <w:docGrid w:type="linesAndChars" w:linePitch="590" w:charSpace="1229"/>
        </w:sectPr>
      </w:pPr>
    </w:p>
    <w:p w:rsidR="000D4A87" w:rsidRDefault="00B074A2">
      <w:pPr>
        <w:autoSpaceDN w:val="0"/>
        <w:snapToGrid w:val="0"/>
        <w:spacing w:line="336" w:lineRule="auto"/>
        <w:ind w:firstLineChars="100" w:firstLine="274"/>
        <w:jc w:val="right"/>
        <w:rPr>
          <w:rFonts w:ascii="仿宋_GB2312" w:hAnsi="仿宋_GB2312" w:cs="仿宋_GB2312"/>
          <w:sz w:val="28"/>
          <w:szCs w:val="28"/>
        </w:rPr>
      </w:pPr>
      <w:r>
        <w:rPr>
          <w:rFonts w:ascii="仿宋_GB2312" w:hAnsi="仿宋_GB2312" w:cs="仿宋_GB2312" w:hint="eastAsia"/>
          <w:sz w:val="28"/>
          <w:szCs w:val="28"/>
        </w:rPr>
        <w:lastRenderedPageBreak/>
        <w:br w:type="page"/>
      </w:r>
    </w:p>
    <w:tbl>
      <w:tblPr>
        <w:tblpPr w:leftFromText="181" w:rightFromText="181" w:horzAnchor="margin" w:tblpXSpec="center" w:tblpYSpec="bottom"/>
        <w:tblOverlap w:val="never"/>
        <w:tblW w:w="0" w:type="auto"/>
        <w:jc w:val="center"/>
        <w:tblBorders>
          <w:top w:val="single" w:sz="12" w:space="0" w:color="auto"/>
          <w:bottom w:val="single" w:sz="12" w:space="0" w:color="auto"/>
          <w:insideH w:val="single" w:sz="8" w:space="0" w:color="auto"/>
        </w:tblBorders>
        <w:tblLayout w:type="fixed"/>
        <w:tblLook w:val="0000" w:firstRow="0" w:lastRow="0" w:firstColumn="0" w:lastColumn="0" w:noHBand="0" w:noVBand="0"/>
      </w:tblPr>
      <w:tblGrid>
        <w:gridCol w:w="1240"/>
        <w:gridCol w:w="3168"/>
        <w:gridCol w:w="4436"/>
      </w:tblGrid>
      <w:tr w:rsidR="000D4A87">
        <w:trPr>
          <w:trHeight w:val="425"/>
          <w:jc w:val="center"/>
        </w:trPr>
        <w:tc>
          <w:tcPr>
            <w:tcW w:w="1240" w:type="dxa"/>
            <w:tcBorders>
              <w:top w:val="single" w:sz="8" w:space="0" w:color="auto"/>
              <w:bottom w:val="single" w:sz="6" w:space="0" w:color="auto"/>
            </w:tcBorders>
            <w:tcMar>
              <w:top w:w="0" w:type="dxa"/>
              <w:left w:w="108" w:type="dxa"/>
              <w:bottom w:w="0" w:type="dxa"/>
              <w:right w:w="0" w:type="dxa"/>
            </w:tcMar>
          </w:tcPr>
          <w:p w:rsidR="000D4A87" w:rsidRDefault="00B074A2">
            <w:pPr>
              <w:autoSpaceDN w:val="0"/>
              <w:snapToGrid w:val="0"/>
              <w:spacing w:line="240" w:lineRule="auto"/>
              <w:ind w:firstLineChars="100" w:firstLine="274"/>
              <w:jc w:val="right"/>
              <w:rPr>
                <w:rFonts w:ascii="仿宋_GB2312" w:hAnsi="仿宋_GB2312" w:cs="仿宋_GB2312"/>
                <w:sz w:val="28"/>
                <w:szCs w:val="28"/>
              </w:rPr>
            </w:pPr>
            <w:r>
              <w:rPr>
                <w:rFonts w:ascii="仿宋_GB2312" w:hAnsi="仿宋_GB2312" w:cs="仿宋_GB2312" w:hint="eastAsia"/>
                <w:sz w:val="28"/>
                <w:szCs w:val="28"/>
              </w:rPr>
              <w:lastRenderedPageBreak/>
              <w:t>抄送：</w:t>
            </w:r>
          </w:p>
        </w:tc>
        <w:tc>
          <w:tcPr>
            <w:tcW w:w="7604" w:type="dxa"/>
            <w:gridSpan w:val="2"/>
            <w:tcBorders>
              <w:top w:val="single" w:sz="8" w:space="0" w:color="auto"/>
              <w:bottom w:val="single" w:sz="6" w:space="0" w:color="auto"/>
            </w:tcBorders>
            <w:tcMar>
              <w:top w:w="0" w:type="dxa"/>
              <w:left w:w="0" w:type="dxa"/>
              <w:bottom w:w="0" w:type="dxa"/>
              <w:right w:w="108" w:type="dxa"/>
            </w:tcMar>
            <w:vAlign w:val="center"/>
          </w:tcPr>
          <w:p w:rsidR="000D4A87" w:rsidRDefault="00B074A2">
            <w:pPr>
              <w:autoSpaceDN w:val="0"/>
              <w:spacing w:line="240" w:lineRule="auto"/>
              <w:ind w:rightChars="100" w:right="314"/>
              <w:rPr>
                <w:rFonts w:ascii="仿宋_GB2312" w:hAnsi="仿宋_GB2312" w:cs="仿宋_GB2312"/>
                <w:sz w:val="28"/>
                <w:szCs w:val="28"/>
              </w:rPr>
            </w:pPr>
            <w:r>
              <w:rPr>
                <w:rFonts w:ascii="仿宋_GB2312" w:hAnsi="仿宋_GB2312" w:cs="仿宋_GB2312" w:hint="eastAsia"/>
                <w:sz w:val="28"/>
                <w:szCs w:val="28"/>
              </w:rPr>
              <w:t>市委各部门，市纪委，杭州警备区，市各群众团体。</w:t>
            </w:r>
          </w:p>
          <w:p w:rsidR="000D4A87" w:rsidRDefault="00B074A2">
            <w:pPr>
              <w:autoSpaceDN w:val="0"/>
              <w:spacing w:line="240" w:lineRule="auto"/>
              <w:ind w:rightChars="100" w:right="314"/>
              <w:rPr>
                <w:rFonts w:ascii="仿宋_GB2312" w:hAnsi="仿宋_GB2312" w:cs="仿宋_GB2312"/>
                <w:sz w:val="28"/>
                <w:szCs w:val="28"/>
              </w:rPr>
            </w:pPr>
            <w:r>
              <w:rPr>
                <w:rFonts w:ascii="仿宋_GB2312" w:hAnsi="仿宋_GB2312" w:cs="仿宋_GB2312" w:hint="eastAsia"/>
                <w:sz w:val="28"/>
                <w:szCs w:val="28"/>
              </w:rPr>
              <w:t>市人大常委会办公厅，市政协办公厅，市法院，市检察院。</w:t>
            </w:r>
          </w:p>
          <w:p w:rsidR="000D4A87" w:rsidRDefault="00B074A2">
            <w:pPr>
              <w:autoSpaceDN w:val="0"/>
              <w:spacing w:line="240" w:lineRule="auto"/>
              <w:ind w:rightChars="100" w:right="314"/>
              <w:rPr>
                <w:rFonts w:ascii="仿宋_GB2312" w:hAnsi="仿宋_GB2312" w:cs="仿宋_GB2312"/>
                <w:sz w:val="28"/>
                <w:szCs w:val="28"/>
              </w:rPr>
            </w:pPr>
            <w:r>
              <w:rPr>
                <w:rFonts w:ascii="仿宋_GB2312" w:hAnsi="仿宋_GB2312" w:cs="仿宋_GB2312" w:hint="eastAsia"/>
                <w:sz w:val="28"/>
                <w:szCs w:val="28"/>
              </w:rPr>
              <w:t>市各民主党派。</w:t>
            </w:r>
          </w:p>
        </w:tc>
      </w:tr>
      <w:tr w:rsidR="000D4A87">
        <w:trPr>
          <w:trHeight w:val="482"/>
          <w:jc w:val="center"/>
        </w:trPr>
        <w:tc>
          <w:tcPr>
            <w:tcW w:w="4408" w:type="dxa"/>
            <w:gridSpan w:val="2"/>
            <w:tcBorders>
              <w:top w:val="single" w:sz="6" w:space="0" w:color="auto"/>
              <w:bottom w:val="single" w:sz="8" w:space="0" w:color="auto"/>
            </w:tcBorders>
            <w:vAlign w:val="center"/>
          </w:tcPr>
          <w:p w:rsidR="000D4A87" w:rsidRDefault="00B074A2">
            <w:pPr>
              <w:autoSpaceDN w:val="0"/>
              <w:spacing w:line="240" w:lineRule="auto"/>
              <w:ind w:leftChars="100" w:left="314"/>
              <w:jc w:val="left"/>
              <w:rPr>
                <w:rFonts w:ascii="仿宋_GB2312" w:hAnsi="仿宋_GB2312" w:cs="仿宋_GB2312"/>
                <w:sz w:val="28"/>
                <w:szCs w:val="28"/>
              </w:rPr>
            </w:pPr>
            <w:r>
              <w:rPr>
                <w:rFonts w:ascii="仿宋_GB2312" w:hAnsi="仿宋_GB2312" w:cs="仿宋_GB2312" w:hint="eastAsia"/>
                <w:spacing w:val="0"/>
                <w:kern w:val="0"/>
                <w:sz w:val="28"/>
                <w:szCs w:val="28"/>
              </w:rPr>
              <w:t>杭州市人民政府办公厅</w:t>
            </w:r>
          </w:p>
        </w:tc>
        <w:tc>
          <w:tcPr>
            <w:tcW w:w="4436" w:type="dxa"/>
            <w:tcBorders>
              <w:top w:val="single" w:sz="6" w:space="0" w:color="auto"/>
              <w:bottom w:val="single" w:sz="8" w:space="0" w:color="auto"/>
            </w:tcBorders>
            <w:vAlign w:val="center"/>
          </w:tcPr>
          <w:p w:rsidR="000D4A87" w:rsidRDefault="00B074A2">
            <w:pPr>
              <w:autoSpaceDN w:val="0"/>
              <w:spacing w:line="240" w:lineRule="auto"/>
              <w:ind w:rightChars="100" w:right="314"/>
              <w:jc w:val="right"/>
              <w:rPr>
                <w:rFonts w:ascii="仿宋_GB2312" w:hAnsi="仿宋_GB2312" w:cs="仿宋_GB2312"/>
                <w:sz w:val="28"/>
                <w:szCs w:val="28"/>
              </w:rPr>
            </w:pPr>
            <w:r>
              <w:rPr>
                <w:rFonts w:ascii="仿宋_GB2312" w:hAnsi="仿宋_GB2312" w:cs="仿宋_GB2312" w:hint="eastAsia"/>
                <w:spacing w:val="0"/>
                <w:kern w:val="0"/>
                <w:sz w:val="28"/>
                <w:szCs w:val="28"/>
              </w:rPr>
              <w:t>2019年3月1日印发</w:t>
            </w:r>
          </w:p>
        </w:tc>
      </w:tr>
      <w:tr w:rsidR="000D4A87">
        <w:trPr>
          <w:trHeight w:hRule="exact" w:val="79"/>
          <w:jc w:val="center"/>
        </w:trPr>
        <w:tc>
          <w:tcPr>
            <w:tcW w:w="4408" w:type="dxa"/>
            <w:gridSpan w:val="2"/>
            <w:tcBorders>
              <w:top w:val="single" w:sz="8" w:space="0" w:color="auto"/>
              <w:bottom w:val="nil"/>
            </w:tcBorders>
          </w:tcPr>
          <w:p w:rsidR="000D4A87" w:rsidRDefault="000D4A87">
            <w:pPr>
              <w:autoSpaceDN w:val="0"/>
              <w:spacing w:line="240" w:lineRule="auto"/>
              <w:jc w:val="left"/>
              <w:rPr>
                <w:rFonts w:ascii="仿宋_GB2312" w:hAnsi="仿宋_GB2312" w:cs="仿宋_GB2312"/>
                <w:sz w:val="28"/>
                <w:szCs w:val="28"/>
              </w:rPr>
            </w:pPr>
          </w:p>
        </w:tc>
        <w:tc>
          <w:tcPr>
            <w:tcW w:w="4436" w:type="dxa"/>
            <w:tcBorders>
              <w:top w:val="single" w:sz="8" w:space="0" w:color="auto"/>
              <w:bottom w:val="nil"/>
            </w:tcBorders>
          </w:tcPr>
          <w:p w:rsidR="000D4A87" w:rsidRDefault="000D4A87">
            <w:pPr>
              <w:autoSpaceDN w:val="0"/>
              <w:spacing w:line="240" w:lineRule="auto"/>
              <w:ind w:rightChars="100" w:right="314"/>
              <w:jc w:val="right"/>
              <w:rPr>
                <w:rFonts w:ascii="仿宋_GB2312" w:hAnsi="仿宋_GB2312" w:cs="仿宋_GB2312"/>
                <w:sz w:val="28"/>
                <w:szCs w:val="28"/>
              </w:rPr>
            </w:pPr>
          </w:p>
          <w:p w:rsidR="000D4A87" w:rsidRDefault="000D4A87">
            <w:pPr>
              <w:autoSpaceDN w:val="0"/>
              <w:spacing w:line="240" w:lineRule="auto"/>
              <w:ind w:rightChars="100" w:right="314"/>
              <w:jc w:val="right"/>
              <w:rPr>
                <w:rFonts w:ascii="仿宋_GB2312" w:hAnsi="仿宋_GB2312" w:cs="仿宋_GB2312"/>
                <w:sz w:val="28"/>
                <w:szCs w:val="28"/>
              </w:rPr>
            </w:pPr>
          </w:p>
        </w:tc>
      </w:tr>
    </w:tbl>
    <w:p w:rsidR="000D4A87" w:rsidRDefault="000D4A87">
      <w:pPr>
        <w:autoSpaceDN w:val="0"/>
        <w:spacing w:line="240" w:lineRule="auto"/>
        <w:jc w:val="left"/>
        <w:rPr>
          <w:rFonts w:ascii="仿宋_GB2312" w:hAnsi="仿宋_GB2312" w:cs="仿宋_GB2312"/>
          <w:sz w:val="28"/>
          <w:szCs w:val="28"/>
        </w:rPr>
      </w:pPr>
    </w:p>
    <w:p w:rsidR="000D4A87" w:rsidRDefault="000D4A87">
      <w:pPr>
        <w:autoSpaceDN w:val="0"/>
        <w:spacing w:line="240" w:lineRule="auto"/>
        <w:jc w:val="left"/>
        <w:rPr>
          <w:rFonts w:ascii="仿宋_GB2312" w:hAnsi="仿宋_GB2312" w:cs="仿宋_GB2312"/>
          <w:sz w:val="28"/>
          <w:szCs w:val="28"/>
        </w:rPr>
      </w:pPr>
    </w:p>
    <w:p w:rsidR="000D4A87" w:rsidRDefault="000D4A87">
      <w:pPr>
        <w:autoSpaceDN w:val="0"/>
        <w:spacing w:line="240" w:lineRule="auto"/>
        <w:jc w:val="left"/>
        <w:rPr>
          <w:rFonts w:ascii="仿宋_GB2312" w:hAnsi="仿宋_GB2312" w:cs="仿宋_GB2312"/>
          <w:sz w:val="28"/>
          <w:szCs w:val="28"/>
        </w:rPr>
      </w:pPr>
    </w:p>
    <w:p w:rsidR="000D4A87" w:rsidRDefault="000D4A87">
      <w:pPr>
        <w:autoSpaceDN w:val="0"/>
        <w:spacing w:line="240" w:lineRule="auto"/>
        <w:jc w:val="left"/>
        <w:rPr>
          <w:rFonts w:ascii="仿宋_GB2312" w:hAnsi="仿宋_GB2312" w:cs="仿宋_GB2312"/>
          <w:sz w:val="28"/>
          <w:szCs w:val="28"/>
        </w:rPr>
      </w:pPr>
    </w:p>
    <w:p w:rsidR="000D4A87" w:rsidRDefault="000D4A87">
      <w:pPr>
        <w:autoSpaceDN w:val="0"/>
        <w:spacing w:line="240" w:lineRule="auto"/>
        <w:jc w:val="left"/>
        <w:rPr>
          <w:rFonts w:ascii="仿宋_GB2312" w:hAnsi="仿宋_GB2312" w:cs="仿宋_GB2312"/>
          <w:sz w:val="28"/>
          <w:szCs w:val="28"/>
        </w:rPr>
      </w:pPr>
    </w:p>
    <w:p w:rsidR="00B074A2" w:rsidRDefault="00B074A2">
      <w:pPr>
        <w:autoSpaceDN w:val="0"/>
        <w:spacing w:line="240" w:lineRule="auto"/>
        <w:jc w:val="left"/>
        <w:rPr>
          <w:rFonts w:ascii="仿宋_GB2312" w:hAnsi="仿宋_GB2312" w:cs="仿宋_GB2312"/>
          <w:sz w:val="28"/>
          <w:szCs w:val="28"/>
        </w:rPr>
      </w:pPr>
    </w:p>
    <w:sectPr w:rsidR="00B074A2">
      <w:type w:val="continuous"/>
      <w:pgSz w:w="11906" w:h="16838"/>
      <w:pgMar w:top="2013" w:right="1474" w:bottom="1899" w:left="1588" w:header="851" w:footer="1077" w:gutter="0"/>
      <w:cols w:space="720"/>
      <w:docGrid w:type="linesAndChars" w:linePitch="590" w:charSpace="122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8E3" w:rsidRDefault="007918E3">
      <w:pPr>
        <w:spacing w:line="240" w:lineRule="auto"/>
      </w:pPr>
      <w:r>
        <w:separator/>
      </w:r>
    </w:p>
  </w:endnote>
  <w:endnote w:type="continuationSeparator" w:id="0">
    <w:p w:rsidR="007918E3" w:rsidRDefault="007918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方正黑体_GBK">
    <w:altName w:val="苹方-简"/>
    <w:charset w:val="00"/>
    <w:family w:val="auto"/>
    <w:pitch w:val="default"/>
    <w:sig w:usb0="00000001" w:usb1="08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仿宋_GBK">
    <w:altName w:val="宋体"/>
    <w:charset w:val="86"/>
    <w:family w:val="script"/>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方正书宋_GBK">
    <w:altName w:val="Arial Unicode MS"/>
    <w:charset w:val="86"/>
    <w:family w:val="auto"/>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A87" w:rsidRDefault="00B074A2">
    <w:pPr>
      <w:pStyle w:val="a5"/>
      <w:spacing w:line="437" w:lineRule="auto"/>
      <w:ind w:leftChars="50" w:left="154"/>
      <w:jc w:val="left"/>
      <w:rPr>
        <w:rStyle w:val="a4"/>
        <w:rFonts w:ascii="宋体" w:hAnsi="宋体"/>
        <w:sz w:val="28"/>
      </w:rPr>
    </w:pPr>
    <w:r>
      <w:rPr>
        <w:rStyle w:val="a4"/>
        <w:rFonts w:ascii="宋体" w:hAnsi="宋体" w:hint="eastAsia"/>
        <w:sz w:val="28"/>
      </w:rPr>
      <w:t xml:space="preserve">— </w:t>
    </w:r>
    <w:r>
      <w:rPr>
        <w:rFonts w:ascii="宋体" w:hAnsi="宋体" w:hint="eastAsia"/>
        <w:sz w:val="28"/>
      </w:rPr>
      <w:fldChar w:fldCharType="begin"/>
    </w:r>
    <w:r>
      <w:rPr>
        <w:rStyle w:val="a4"/>
        <w:rFonts w:ascii="宋体" w:hAnsi="宋体" w:hint="eastAsia"/>
        <w:sz w:val="28"/>
      </w:rPr>
      <w:instrText xml:space="preserve"> PAGE </w:instrText>
    </w:r>
    <w:r>
      <w:rPr>
        <w:rFonts w:ascii="宋体" w:hAnsi="宋体" w:hint="eastAsia"/>
        <w:sz w:val="28"/>
      </w:rPr>
      <w:fldChar w:fldCharType="separate"/>
    </w:r>
    <w:r w:rsidR="00597086">
      <w:rPr>
        <w:rStyle w:val="a4"/>
        <w:rFonts w:ascii="宋体" w:hAnsi="宋体"/>
        <w:noProof/>
        <w:sz w:val="28"/>
      </w:rPr>
      <w:t>114</w:t>
    </w:r>
    <w:r>
      <w:rPr>
        <w:rFonts w:ascii="宋体" w:hAnsi="宋体" w:hint="eastAsia"/>
        <w:sz w:val="28"/>
      </w:rPr>
      <w:fldChar w:fldCharType="end"/>
    </w:r>
    <w:r>
      <w:rPr>
        <w:rFonts w:ascii="宋体" w:hAnsi="宋体" w:hint="eastAsia"/>
        <w:sz w:val="28"/>
      </w:rPr>
      <w:t xml:space="preserve"> </w:t>
    </w:r>
    <w:r>
      <w:rPr>
        <w:rStyle w:val="a4"/>
        <w:rFonts w:ascii="宋体" w:hAnsi="宋体" w:hint="eastAsia"/>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A87" w:rsidRDefault="00B074A2" w:rsidP="00BE04ED">
    <w:pPr>
      <w:pStyle w:val="a5"/>
      <w:wordWrap w:val="0"/>
      <w:spacing w:line="440" w:lineRule="auto"/>
      <w:ind w:rightChars="100" w:right="308"/>
      <w:jc w:val="right"/>
      <w:rPr>
        <w:rFonts w:ascii="楷体_GB2312" w:eastAsia="楷体_GB2312"/>
        <w:sz w:val="28"/>
      </w:rPr>
    </w:pPr>
    <w:r>
      <w:rPr>
        <w:rStyle w:val="a4"/>
        <w:rFonts w:ascii="宋体" w:hAnsi="宋体" w:hint="eastAsia"/>
        <w:sz w:val="28"/>
      </w:rPr>
      <w:t xml:space="preserve">— </w:t>
    </w:r>
    <w:r>
      <w:rPr>
        <w:rFonts w:ascii="宋体" w:hAnsi="宋体" w:cs="宋体" w:hint="eastAsia"/>
        <w:sz w:val="28"/>
        <w:szCs w:val="28"/>
      </w:rPr>
      <w:fldChar w:fldCharType="begin"/>
    </w:r>
    <w:r>
      <w:rPr>
        <w:rStyle w:val="a4"/>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97086" w:rsidRPr="00597086">
      <w:rPr>
        <w:noProof/>
      </w:rPr>
      <w:t>115</w:t>
    </w:r>
    <w:r>
      <w:rPr>
        <w:rFonts w:ascii="宋体" w:hAnsi="宋体" w:cs="宋体" w:hint="eastAsia"/>
        <w:sz w:val="28"/>
        <w:szCs w:val="28"/>
      </w:rPr>
      <w:fldChar w:fldCharType="end"/>
    </w:r>
    <w:r>
      <w:rPr>
        <w:rFonts w:ascii="宋体" w:hAnsi="宋体" w:hint="eastAsia"/>
        <w:sz w:val="28"/>
      </w:rPr>
      <w:t xml:space="preserve"> </w:t>
    </w:r>
    <w:r>
      <w:rPr>
        <w:rStyle w:val="a4"/>
        <w:rFonts w:ascii="宋体" w:hAnsi="宋体" w:hint="eastAsia"/>
        <w:sz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8E3" w:rsidRDefault="007918E3">
      <w:pPr>
        <w:spacing w:line="240" w:lineRule="auto"/>
      </w:pPr>
      <w:r>
        <w:separator/>
      </w:r>
    </w:p>
  </w:footnote>
  <w:footnote w:type="continuationSeparator" w:id="0">
    <w:p w:rsidR="007918E3" w:rsidRDefault="007918E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chineseCountingThousand"/>
      <w:suff w:val="space"/>
      <w:lvlText w:val="第%1章"/>
      <w:lvlJc w:val="left"/>
      <w:pPr>
        <w:ind w:left="0" w:firstLine="454"/>
      </w:pPr>
      <w:rPr>
        <w:rFonts w:eastAsia="方正黑体_GBK" w:hint="eastAsia"/>
        <w:color w:val="auto"/>
      </w:rPr>
    </w:lvl>
    <w:lvl w:ilvl="1">
      <w:start w:val="1"/>
      <w:numFmt w:val="chineseCountingThousand"/>
      <w:suff w:val="space"/>
      <w:lvlText w:val="第%2条"/>
      <w:lvlJc w:val="left"/>
      <w:pPr>
        <w:ind w:left="0" w:firstLine="0"/>
      </w:pPr>
      <w:rPr>
        <w:rFonts w:eastAsia="方正黑体_GBK" w:hint="eastAsia"/>
        <w:color w:val="auto"/>
      </w:rPr>
    </w:lvl>
    <w:lvl w:ilvl="2">
      <w:start w:val="1"/>
      <w:numFmt w:val="chineseCountingThousand"/>
      <w:suff w:val="space"/>
      <w:lvlText w:val="第%3条"/>
      <w:lvlJc w:val="left"/>
      <w:pPr>
        <w:ind w:left="0" w:firstLine="454"/>
      </w:pPr>
      <w:rPr>
        <w:rFonts w:hint="eastAsia"/>
        <w:color w:val="auto"/>
      </w:rPr>
    </w:lvl>
    <w:lvl w:ilvl="3">
      <w:start w:val="1"/>
      <w:numFmt w:val="chineseCountingThousand"/>
      <w:suff w:val="space"/>
      <w:lvlText w:val="（%4）"/>
      <w:lvlJc w:val="left"/>
      <w:pPr>
        <w:ind w:left="0" w:firstLine="340"/>
      </w:pPr>
      <w:rPr>
        <w:rFonts w:hint="eastAsia"/>
        <w:color w:val="auto"/>
      </w:rPr>
    </w:lvl>
    <w:lvl w:ilvl="4">
      <w:start w:val="1"/>
      <w:numFmt w:val="decimal"/>
      <w:suff w:val="space"/>
      <w:lvlText w:val="%5．"/>
      <w:lvlJc w:val="left"/>
      <w:pPr>
        <w:ind w:left="0" w:firstLine="454"/>
      </w:pPr>
      <w:rPr>
        <w:rFonts w:hint="eastAsia"/>
        <w:color w:val="auto"/>
      </w:rPr>
    </w:lvl>
    <w:lvl w:ilvl="5">
      <w:start w:val="1"/>
      <w:numFmt w:val="decimal"/>
      <w:suff w:val="space"/>
      <w:lvlText w:val="（%6）"/>
      <w:lvlJc w:val="left"/>
      <w:pPr>
        <w:ind w:left="0" w:firstLine="340"/>
      </w:pPr>
      <w:rPr>
        <w:rFonts w:hint="eastAsia"/>
        <w:color w:val="auto"/>
      </w:rPr>
    </w:lvl>
    <w:lvl w:ilvl="6">
      <w:start w:val="1"/>
      <w:numFmt w:val="decimalEnclosedCircle"/>
      <w:suff w:val="space"/>
      <w:lvlText w:val="%7 "/>
      <w:lvlJc w:val="left"/>
      <w:pPr>
        <w:ind w:left="0" w:firstLine="454"/>
      </w:pPr>
      <w:rPr>
        <w:rFonts w:hint="eastAsia"/>
        <w:color w:val="auto"/>
      </w:rPr>
    </w:lvl>
    <w:lvl w:ilvl="7">
      <w:start w:val="1"/>
      <w:numFmt w:val="decimal"/>
      <w:suff w:val="space"/>
      <w:lvlText w:val="%8）"/>
      <w:lvlJc w:val="left"/>
      <w:pPr>
        <w:ind w:left="0" w:firstLine="454"/>
      </w:pPr>
      <w:rPr>
        <w:rFonts w:hint="eastAsia"/>
        <w:color w:val="auto"/>
      </w:rPr>
    </w:lvl>
    <w:lvl w:ilvl="8">
      <w:start w:val="1"/>
      <w:numFmt w:val="none"/>
      <w:suff w:val="space"/>
      <w:lvlText w:val="a．"/>
      <w:lvlJc w:val="left"/>
      <w:pPr>
        <w:ind w:left="0" w:firstLine="454"/>
      </w:pPr>
      <w:rPr>
        <w:rFonts w:hint="eastAsia"/>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308"/>
  <w:drawingGridVerticalSpacing w:val="295"/>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iDocStyle" w:val="2"/>
  </w:docVars>
  <w:rsids>
    <w:rsidRoot w:val="0F092107"/>
    <w:rsid w:val="CB2BB490"/>
    <w:rsid w:val="F77FB8BE"/>
    <w:rsid w:val="FBFEBC59"/>
    <w:rsid w:val="000D4A87"/>
    <w:rsid w:val="002763E4"/>
    <w:rsid w:val="00597086"/>
    <w:rsid w:val="00727F59"/>
    <w:rsid w:val="007918E3"/>
    <w:rsid w:val="00A01E65"/>
    <w:rsid w:val="00B074A2"/>
    <w:rsid w:val="00B1131B"/>
    <w:rsid w:val="00BE04ED"/>
    <w:rsid w:val="00D52480"/>
    <w:rsid w:val="00E00244"/>
    <w:rsid w:val="01316FC3"/>
    <w:rsid w:val="01F24632"/>
    <w:rsid w:val="021D7488"/>
    <w:rsid w:val="025144C8"/>
    <w:rsid w:val="0252665D"/>
    <w:rsid w:val="02AF69F7"/>
    <w:rsid w:val="02E87E56"/>
    <w:rsid w:val="02FA5B72"/>
    <w:rsid w:val="0331712F"/>
    <w:rsid w:val="03393DF6"/>
    <w:rsid w:val="05881EF1"/>
    <w:rsid w:val="07C73B1A"/>
    <w:rsid w:val="08E16F5B"/>
    <w:rsid w:val="08E35BA2"/>
    <w:rsid w:val="09155D05"/>
    <w:rsid w:val="095C1FE8"/>
    <w:rsid w:val="099F3D57"/>
    <w:rsid w:val="0A960A6B"/>
    <w:rsid w:val="0B2062ED"/>
    <w:rsid w:val="0C43782D"/>
    <w:rsid w:val="0D130DFF"/>
    <w:rsid w:val="0D196FD8"/>
    <w:rsid w:val="0D7163FE"/>
    <w:rsid w:val="0D857002"/>
    <w:rsid w:val="0DD12FB0"/>
    <w:rsid w:val="0E565DD4"/>
    <w:rsid w:val="0EC17841"/>
    <w:rsid w:val="0EED5E99"/>
    <w:rsid w:val="0F092107"/>
    <w:rsid w:val="0F4920A4"/>
    <w:rsid w:val="10D94E1F"/>
    <w:rsid w:val="11D648D0"/>
    <w:rsid w:val="13173C1E"/>
    <w:rsid w:val="131751BA"/>
    <w:rsid w:val="13233ABF"/>
    <w:rsid w:val="13EC3FBB"/>
    <w:rsid w:val="142A18A2"/>
    <w:rsid w:val="14A564E4"/>
    <w:rsid w:val="14B055E2"/>
    <w:rsid w:val="15AD04D8"/>
    <w:rsid w:val="16733D65"/>
    <w:rsid w:val="17267F85"/>
    <w:rsid w:val="17DB2059"/>
    <w:rsid w:val="181F3A21"/>
    <w:rsid w:val="18E83469"/>
    <w:rsid w:val="1A0D2313"/>
    <w:rsid w:val="1A7A3A87"/>
    <w:rsid w:val="1C3B1B66"/>
    <w:rsid w:val="1D594B70"/>
    <w:rsid w:val="1DC37854"/>
    <w:rsid w:val="1EDD13EC"/>
    <w:rsid w:val="1F575040"/>
    <w:rsid w:val="1F7A45ED"/>
    <w:rsid w:val="1F7B0DB7"/>
    <w:rsid w:val="1F983263"/>
    <w:rsid w:val="1FC15723"/>
    <w:rsid w:val="20184366"/>
    <w:rsid w:val="210E1B4B"/>
    <w:rsid w:val="21A279C8"/>
    <w:rsid w:val="224042FE"/>
    <w:rsid w:val="22C43BEF"/>
    <w:rsid w:val="22E152C9"/>
    <w:rsid w:val="22ED7904"/>
    <w:rsid w:val="2363679C"/>
    <w:rsid w:val="24BE2ED6"/>
    <w:rsid w:val="26361ABD"/>
    <w:rsid w:val="272629EA"/>
    <w:rsid w:val="28E00B4F"/>
    <w:rsid w:val="29785CDA"/>
    <w:rsid w:val="2A0321A1"/>
    <w:rsid w:val="2AE12ECE"/>
    <w:rsid w:val="2B10035B"/>
    <w:rsid w:val="2B4A4093"/>
    <w:rsid w:val="2BE110CC"/>
    <w:rsid w:val="2C26057E"/>
    <w:rsid w:val="2C38122A"/>
    <w:rsid w:val="2CCC22AF"/>
    <w:rsid w:val="2CD90022"/>
    <w:rsid w:val="2D0852EE"/>
    <w:rsid w:val="2D140142"/>
    <w:rsid w:val="2D454484"/>
    <w:rsid w:val="2D607001"/>
    <w:rsid w:val="2FA33D38"/>
    <w:rsid w:val="2FAB58C1"/>
    <w:rsid w:val="2FF4721C"/>
    <w:rsid w:val="30391EE2"/>
    <w:rsid w:val="30881A2C"/>
    <w:rsid w:val="31327CC7"/>
    <w:rsid w:val="315F0A35"/>
    <w:rsid w:val="32144A36"/>
    <w:rsid w:val="3374095A"/>
    <w:rsid w:val="342B6532"/>
    <w:rsid w:val="349A34DB"/>
    <w:rsid w:val="35DD1EFC"/>
    <w:rsid w:val="35E10A82"/>
    <w:rsid w:val="365B0F3E"/>
    <w:rsid w:val="36C52B6C"/>
    <w:rsid w:val="36EE26AB"/>
    <w:rsid w:val="37AC6599"/>
    <w:rsid w:val="38481364"/>
    <w:rsid w:val="38586D15"/>
    <w:rsid w:val="39810466"/>
    <w:rsid w:val="398A4598"/>
    <w:rsid w:val="39B11E02"/>
    <w:rsid w:val="3A584A87"/>
    <w:rsid w:val="3AC60AFD"/>
    <w:rsid w:val="3AE3482A"/>
    <w:rsid w:val="3B591178"/>
    <w:rsid w:val="3C2A3E5D"/>
    <w:rsid w:val="3CAA4196"/>
    <w:rsid w:val="3CBD7774"/>
    <w:rsid w:val="3D7F29FF"/>
    <w:rsid w:val="3DEC7D0B"/>
    <w:rsid w:val="3E3C5CDD"/>
    <w:rsid w:val="3E470791"/>
    <w:rsid w:val="3E7A05BD"/>
    <w:rsid w:val="3FA62879"/>
    <w:rsid w:val="40757A4F"/>
    <w:rsid w:val="40FB15DE"/>
    <w:rsid w:val="410211AD"/>
    <w:rsid w:val="410427B6"/>
    <w:rsid w:val="42802FA7"/>
    <w:rsid w:val="429D6E94"/>
    <w:rsid w:val="42F332E6"/>
    <w:rsid w:val="43202EB0"/>
    <w:rsid w:val="435B1A11"/>
    <w:rsid w:val="43CB1CC4"/>
    <w:rsid w:val="44185647"/>
    <w:rsid w:val="461A5778"/>
    <w:rsid w:val="463B2296"/>
    <w:rsid w:val="469060E5"/>
    <w:rsid w:val="47387279"/>
    <w:rsid w:val="492E089B"/>
    <w:rsid w:val="49381E9F"/>
    <w:rsid w:val="49877032"/>
    <w:rsid w:val="4B274F11"/>
    <w:rsid w:val="4BCA7EF6"/>
    <w:rsid w:val="4D074B86"/>
    <w:rsid w:val="4D337AB8"/>
    <w:rsid w:val="4E02140A"/>
    <w:rsid w:val="4FCA4656"/>
    <w:rsid w:val="4FDC2FCE"/>
    <w:rsid w:val="4FE75B49"/>
    <w:rsid w:val="50901F8B"/>
    <w:rsid w:val="50A71CAD"/>
    <w:rsid w:val="50CA0599"/>
    <w:rsid w:val="51785696"/>
    <w:rsid w:val="529F4C9C"/>
    <w:rsid w:val="52D61846"/>
    <w:rsid w:val="53FA00A0"/>
    <w:rsid w:val="54082EBC"/>
    <w:rsid w:val="54313AAE"/>
    <w:rsid w:val="544A1B96"/>
    <w:rsid w:val="545F13F9"/>
    <w:rsid w:val="54963482"/>
    <w:rsid w:val="55145A25"/>
    <w:rsid w:val="55472BBD"/>
    <w:rsid w:val="55AF7E22"/>
    <w:rsid w:val="564F4128"/>
    <w:rsid w:val="57AD78E7"/>
    <w:rsid w:val="583C1A4C"/>
    <w:rsid w:val="58FC0657"/>
    <w:rsid w:val="5A0E034B"/>
    <w:rsid w:val="5A6E1669"/>
    <w:rsid w:val="5A7979FA"/>
    <w:rsid w:val="5B526AEB"/>
    <w:rsid w:val="5B657AB0"/>
    <w:rsid w:val="5B7046FD"/>
    <w:rsid w:val="5B952750"/>
    <w:rsid w:val="5C0D7C11"/>
    <w:rsid w:val="5C4415EF"/>
    <w:rsid w:val="5C564D8D"/>
    <w:rsid w:val="5D432A17"/>
    <w:rsid w:val="5DFF577A"/>
    <w:rsid w:val="5E384D2C"/>
    <w:rsid w:val="5E890C6D"/>
    <w:rsid w:val="5EA33806"/>
    <w:rsid w:val="5F995DE3"/>
    <w:rsid w:val="5FE56E3E"/>
    <w:rsid w:val="610C775A"/>
    <w:rsid w:val="612B73C6"/>
    <w:rsid w:val="61A76A6F"/>
    <w:rsid w:val="62156F49"/>
    <w:rsid w:val="63520391"/>
    <w:rsid w:val="63D53F5A"/>
    <w:rsid w:val="6463079B"/>
    <w:rsid w:val="658B4525"/>
    <w:rsid w:val="66001F65"/>
    <w:rsid w:val="66500DEB"/>
    <w:rsid w:val="665541AD"/>
    <w:rsid w:val="665F7EC9"/>
    <w:rsid w:val="66706D0E"/>
    <w:rsid w:val="66746B6C"/>
    <w:rsid w:val="66C877B0"/>
    <w:rsid w:val="67FB3025"/>
    <w:rsid w:val="67FF71BD"/>
    <w:rsid w:val="684022FD"/>
    <w:rsid w:val="68F25B3B"/>
    <w:rsid w:val="6B896A79"/>
    <w:rsid w:val="6C1145E6"/>
    <w:rsid w:val="6C5B2117"/>
    <w:rsid w:val="6DDF49CF"/>
    <w:rsid w:val="6E0E551E"/>
    <w:rsid w:val="6E112C1F"/>
    <w:rsid w:val="6E815F40"/>
    <w:rsid w:val="6EEF260E"/>
    <w:rsid w:val="6F2C4671"/>
    <w:rsid w:val="6FD77079"/>
    <w:rsid w:val="700468D2"/>
    <w:rsid w:val="70316BC2"/>
    <w:rsid w:val="708D2700"/>
    <w:rsid w:val="70B33CD6"/>
    <w:rsid w:val="70EC4652"/>
    <w:rsid w:val="70F72A0F"/>
    <w:rsid w:val="71540F3E"/>
    <w:rsid w:val="718E63D9"/>
    <w:rsid w:val="71B53A1C"/>
    <w:rsid w:val="72993414"/>
    <w:rsid w:val="72E916CB"/>
    <w:rsid w:val="731B6E65"/>
    <w:rsid w:val="73316433"/>
    <w:rsid w:val="740E7C9B"/>
    <w:rsid w:val="76096233"/>
    <w:rsid w:val="76573895"/>
    <w:rsid w:val="765C3ABF"/>
    <w:rsid w:val="767744A9"/>
    <w:rsid w:val="76BA05D5"/>
    <w:rsid w:val="76C96671"/>
    <w:rsid w:val="775B2960"/>
    <w:rsid w:val="77EE514F"/>
    <w:rsid w:val="78E57C65"/>
    <w:rsid w:val="794D6390"/>
    <w:rsid w:val="79E5296C"/>
    <w:rsid w:val="7A2D6D03"/>
    <w:rsid w:val="7ACD5903"/>
    <w:rsid w:val="7B941ACD"/>
    <w:rsid w:val="7C6314D2"/>
    <w:rsid w:val="7C776CC5"/>
    <w:rsid w:val="7D707D59"/>
    <w:rsid w:val="7DC166B5"/>
    <w:rsid w:val="7FCA24B7"/>
    <w:rsid w:val="7FD37543"/>
    <w:rsid w:val="7FDF7A26"/>
    <w:rsid w:val="9BFDF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lsdException w:name="caption" w:uiPriority="35" w:qFormat="1"/>
    <w:lsdException w:name="line number" w:semiHidden="0" w:uiPriority="0" w:unhideWhenUsed="0"/>
    <w:lsdException w:name="page number" w:semiHidden="0" w:uiPriority="0" w:unhideWhenUsed="0"/>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240" w:lineRule="atLeast"/>
      <w:jc w:val="both"/>
    </w:pPr>
    <w:rPr>
      <w:rFonts w:eastAsia="仿宋_GB2312"/>
      <w:spacing w:val="-6"/>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21">
    <w:name w:val="font21"/>
    <w:basedOn w:val="a0"/>
    <w:rPr>
      <w:rFonts w:ascii="仿宋_GB2312" w:eastAsia="仿宋_GB2312" w:cs="仿宋_GB2312" w:hint="eastAsia"/>
      <w:b/>
      <w:bCs w:val="0"/>
      <w:color w:val="000000"/>
      <w:sz w:val="21"/>
      <w:szCs w:val="21"/>
      <w:u w:val="none"/>
    </w:rPr>
  </w:style>
  <w:style w:type="character" w:styleId="a3">
    <w:name w:val="line number"/>
    <w:basedOn w:val="a0"/>
  </w:style>
  <w:style w:type="character" w:styleId="a4">
    <w:name w:val="page number"/>
    <w:basedOn w:val="a0"/>
  </w:style>
  <w:style w:type="character" w:customStyle="1" w:styleId="font51">
    <w:name w:val="font51"/>
    <w:basedOn w:val="a0"/>
    <w:rPr>
      <w:rFonts w:ascii="Calibri" w:eastAsia="宋体" w:hAnsi="Calibri" w:cs="Calibri" w:hint="default"/>
      <w:color w:val="000000"/>
      <w:kern w:val="2"/>
      <w:sz w:val="21"/>
      <w:szCs w:val="21"/>
      <w:u w:val="none"/>
      <w:lang w:val="en-US" w:eastAsia="zh-CN"/>
    </w:rPr>
  </w:style>
  <w:style w:type="character" w:customStyle="1" w:styleId="font61">
    <w:name w:val="font61"/>
    <w:basedOn w:val="a0"/>
    <w:rPr>
      <w:rFonts w:ascii="宋体" w:eastAsia="宋体" w:hAnsi="宋体" w:cs="宋体" w:hint="eastAsia"/>
      <w:color w:val="000000"/>
      <w:kern w:val="2"/>
      <w:sz w:val="21"/>
      <w:szCs w:val="21"/>
      <w:u w:val="none"/>
      <w:lang w:val="en-US" w:eastAsia="zh-CN"/>
    </w:rPr>
  </w:style>
  <w:style w:type="character" w:customStyle="1" w:styleId="Char">
    <w:name w:val="页脚 Char"/>
    <w:basedOn w:val="a0"/>
    <w:link w:val="a5"/>
    <w:uiPriority w:val="99"/>
    <w:rPr>
      <w:sz w:val="18"/>
      <w:szCs w:val="18"/>
    </w:rPr>
  </w:style>
  <w:style w:type="paragraph" w:customStyle="1" w:styleId="a6">
    <w:name w:val="居中"/>
    <w:basedOn w:val="a"/>
    <w:pPr>
      <w:ind w:firstLine="454"/>
    </w:pPr>
  </w:style>
  <w:style w:type="paragraph" w:styleId="a7">
    <w:name w:val="header"/>
    <w:basedOn w:val="a"/>
    <w:pPr>
      <w:tabs>
        <w:tab w:val="center" w:pos="4153"/>
        <w:tab w:val="right" w:pos="8306"/>
      </w:tabs>
      <w:overflowPunct w:val="0"/>
      <w:autoSpaceDE w:val="0"/>
      <w:autoSpaceDN w:val="0"/>
      <w:adjustRightInd w:val="0"/>
      <w:textAlignment w:val="baseline"/>
    </w:pPr>
    <w:rPr>
      <w:rFonts w:eastAsia="宋体"/>
      <w:spacing w:val="0"/>
      <w:sz w:val="20"/>
    </w:rPr>
  </w:style>
  <w:style w:type="paragraph" w:styleId="a5">
    <w:name w:val="footer"/>
    <w:basedOn w:val="a"/>
    <w:link w:val="Char"/>
    <w:uiPriority w:val="99"/>
    <w:pPr>
      <w:tabs>
        <w:tab w:val="center" w:pos="4153"/>
        <w:tab w:val="right" w:pos="8306"/>
      </w:tabs>
      <w:overflowPunct w:val="0"/>
      <w:autoSpaceDE w:val="0"/>
      <w:autoSpaceDN w:val="0"/>
      <w:adjustRightInd w:val="0"/>
      <w:textAlignment w:val="baseline"/>
    </w:pPr>
    <w:rPr>
      <w:rFonts w:eastAsia="宋体"/>
      <w:spacing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25105;&#30340;&#36164;&#26009;\&#25105;&#30340;&#25991;&#26723;\Desktop\Temp\4890&#21407;&#22987;&#27169;&#26495;\&#25253;&#21578;-1&#20010;&#31456;&#21333;&#21457;&#25991;&#65288;&#19978;&#34892;&#30701;&#32626;&#21517;&#65289;.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报告-1个章单发文（上行短署名）.wpt</Template>
  <TotalTime>3</TotalTime>
  <Pages>12</Pages>
  <Words>876</Words>
  <Characters>4995</Characters>
  <Application>Microsoft Office Word</Application>
  <DocSecurity>0</DocSecurity>
  <PresentationFormat/>
  <Lines>41</Lines>
  <Paragraphs>11</Paragraphs>
  <Slides>0</Slides>
  <Notes>0</Notes>
  <HiddenSlides>0</HiddenSlides>
  <MMClips>0</MMClips>
  <ScaleCrop>false</ScaleCrop>
  <Company>杭州市财政局</Company>
  <LinksUpToDate>false</LinksUpToDate>
  <CharactersWithSpaces>5860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No:0000001</dc:title>
  <dc:creator>SystemManager</dc:creator>
  <cp:lastModifiedBy>微软用户</cp:lastModifiedBy>
  <cp:revision>5</cp:revision>
  <cp:lastPrinted>2019-03-01T03:20:00Z</cp:lastPrinted>
  <dcterms:created xsi:type="dcterms:W3CDTF">2019-03-08T08:09:00Z</dcterms:created>
  <dcterms:modified xsi:type="dcterms:W3CDTF">2019-06-20T07:08:00Z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2052-10.1.0.5842</vt:lpwstr>
  </property>
  <property fmtid="{D5CDD505-2E9C-101B-9397-08002B2CF9AE}" pid="3" name="公文模板版本">
    <vt:lpwstr>20150728</vt:lpwstr>
  </property>
  <property fmtid="{D5CDD505-2E9C-101B-9397-08002B2CF9AE}" pid="4" name="文种">
    <vt:lpwstr>通知</vt:lpwstr>
  </property>
  <property fmtid="{D5CDD505-2E9C-101B-9397-08002B2CF9AE}" pid="5" name="公文标识">
    <vt:lpwstr>1.2.156.10.400002195-C01-2019-8-1762-16</vt:lpwstr>
  </property>
</Properties>
</file>